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CB7F8A" w:rsidP="00D44968">
            <w:pPr>
              <w:suppressLineNumbers/>
              <w:rPr>
                <w:rFonts w:ascii="Arial" w:hAnsi="Arial"/>
                <w:b/>
                <w:bCs/>
                <w:noProof w:val="0"/>
                <w:sz w:val="26"/>
                <w:szCs w:val="26"/>
                <w:rtl/>
              </w:rPr>
            </w:pPr>
            <w:r>
              <w:rPr>
                <w:rFonts w:ascii="Arial" w:hAnsi="Arial" w:hint="cs"/>
                <w:b/>
                <w:bCs/>
                <w:noProof w:val="0"/>
                <w:sz w:val="26"/>
                <w:szCs w:val="26"/>
                <w:rtl/>
              </w:rPr>
              <w:t xml:space="preserve">                               </w:t>
            </w:r>
            <w:r w:rsidR="0094424E">
              <w:rPr>
                <w:rFonts w:ascii="Arial" w:hAnsi="Arial"/>
                <w:b/>
                <w:bCs/>
                <w:noProof w:val="0"/>
                <w:sz w:val="26"/>
                <w:szCs w:val="26"/>
                <w:rtl/>
              </w:rPr>
              <w:t>מספר בקשה:</w:t>
            </w:r>
            <w:sdt>
              <w:sdtPr>
                <w:rPr>
                  <w:rtl/>
                </w:rPr>
                <w:alias w:val="1193"/>
                <w:tag w:val="1193"/>
                <w:id w:val="-636028727"/>
                <w:text w:multiLine="1"/>
              </w:sdtPr>
              <w:sdtEndPr/>
              <w:sdtContent>
                <w:r w:rsidR="0094424E">
                  <w:rPr>
                    <w:rFonts w:ascii="Arial" w:hAnsi="Arial"/>
                    <w:b/>
                    <w:bCs/>
                    <w:noProof w:val="0"/>
                    <w:sz w:val="32"/>
                    <w:szCs w:val="32"/>
                    <w:rtl/>
                  </w:rPr>
                  <w:t>3</w:t>
                </w:r>
              </w:sdtContent>
            </w:sdt>
          </w:p>
        </w:tc>
      </w:tr>
      <w:tr w:rsidR="0094424E">
        <w:trPr>
          <w:jc w:val="center"/>
        </w:trPr>
        <w:tc>
          <w:tcPr>
            <w:tcW w:w="743" w:type="dxa"/>
          </w:tcPr>
          <w:p w:rsidR="0094424E" w:rsidRPr="00FF4B76" w:rsidRDefault="00064651" w:rsidP="00D44968">
            <w:pPr>
              <w:suppressLineNumbers/>
              <w:jc w:val="both"/>
              <w:rPr>
                <w:rFonts w:ascii="Arial" w:hAnsi="Arial"/>
                <w:b/>
                <w:bCs/>
                <w:sz w:val="26"/>
                <w:szCs w:val="26"/>
                <w:rtl/>
              </w:rPr>
            </w:pPr>
            <w:r w:rsidRPr="00FF4B76">
              <w:rPr>
                <w:rFonts w:ascii="Arial" w:hAnsi="Arial" w:hint="cs"/>
                <w:b/>
                <w:bCs/>
                <w:sz w:val="26"/>
                <w:szCs w:val="26"/>
                <w:rtl/>
              </w:rPr>
              <w:t>ל</w:t>
            </w:r>
            <w:r w:rsidR="0094424E" w:rsidRPr="00FF4B76">
              <w:rPr>
                <w:rFonts w:ascii="Arial" w:hAnsi="Arial"/>
                <w:b/>
                <w:bCs/>
                <w:sz w:val="26"/>
                <w:szCs w:val="26"/>
                <w:rtl/>
              </w:rPr>
              <w:t xml:space="preserve">פני </w:t>
            </w:r>
          </w:p>
        </w:tc>
        <w:tc>
          <w:tcPr>
            <w:tcW w:w="8077" w:type="dxa"/>
            <w:gridSpan w:val="3"/>
          </w:tcPr>
          <w:p w:rsidR="0094424E" w:rsidRPr="00FF4B76" w:rsidRDefault="000529D2" w:rsidP="00D44968">
            <w:pPr>
              <w:suppressLineNumbers/>
              <w:rPr>
                <w:rFonts w:ascii="Arial" w:hAnsi="Arial"/>
                <w:b/>
                <w:bCs/>
                <w:sz w:val="26"/>
                <w:szCs w:val="26"/>
                <w:rtl/>
              </w:rPr>
            </w:pPr>
            <w:r w:rsidRPr="00FF4B76">
              <w:rPr>
                <w:rFonts w:ascii="Arial" w:hAnsi="Arial" w:hint="cs"/>
                <w:b/>
                <w:bCs/>
                <w:sz w:val="26"/>
                <w:szCs w:val="26"/>
                <w:rtl/>
              </w:rPr>
              <w:t>כבוד</w:t>
            </w:r>
            <w:r w:rsidR="0094424E" w:rsidRPr="00FF4B76">
              <w:rPr>
                <w:rFonts w:ascii="Arial" w:hAnsi="Arial" w:hint="cs"/>
                <w:b/>
                <w:bCs/>
                <w:sz w:val="26"/>
                <w:szCs w:val="26"/>
                <w:rtl/>
              </w:rPr>
              <w:t xml:space="preserve"> ה</w:t>
            </w:r>
            <w:sdt>
              <w:sdtPr>
                <w:rPr>
                  <w:sz w:val="26"/>
                  <w:szCs w:val="26"/>
                  <w:rtl/>
                </w:rPr>
                <w:alias w:val="1574"/>
                <w:tag w:val="1574"/>
                <w:id w:val="414602899"/>
                <w:text w:multiLine="1"/>
              </w:sdtPr>
              <w:sdtEndPr/>
              <w:sdtContent>
                <w:r w:rsidRPr="00FF4B76">
                  <w:rPr>
                    <w:rFonts w:ascii="Arial" w:hAnsi="Arial"/>
                    <w:b/>
                    <w:bCs/>
                    <w:sz w:val="26"/>
                    <w:szCs w:val="26"/>
                    <w:rtl/>
                  </w:rPr>
                  <w:t>שופטת, סגנית הנשיא</w:t>
                </w:r>
              </w:sdtContent>
            </w:sdt>
            <w:r w:rsidR="0094424E" w:rsidRPr="00FF4B76">
              <w:rPr>
                <w:rFonts w:ascii="Arial" w:hAnsi="Arial" w:hint="cs"/>
                <w:b/>
                <w:bCs/>
                <w:sz w:val="26"/>
                <w:szCs w:val="26"/>
                <w:rtl/>
              </w:rPr>
              <w:t xml:space="preserve">  </w:t>
            </w:r>
            <w:sdt>
              <w:sdtPr>
                <w:rPr>
                  <w:sz w:val="26"/>
                  <w:szCs w:val="26"/>
                  <w:rtl/>
                </w:rPr>
                <w:alias w:val="1573"/>
                <w:tag w:val="1573"/>
                <w:id w:val="-1751030614"/>
                <w:text w:multiLine="1"/>
              </w:sdtPr>
              <w:sdtEndPr/>
              <w:sdtContent>
                <w:r w:rsidRPr="00FF4B76">
                  <w:rPr>
                    <w:rFonts w:ascii="Arial" w:hAnsi="Arial"/>
                    <w:b/>
                    <w:bCs/>
                    <w:sz w:val="26"/>
                    <w:szCs w:val="26"/>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01CE4" w:rsidRDefault="005D3775" w:rsidP="005D3775">
                <w:pPr>
                  <w:suppressLineNumbers/>
                  <w:rPr>
                    <w:rFonts w:ascii="Arial" w:hAnsi="Arial"/>
                    <w:b/>
                    <w:bCs/>
                    <w:noProof w:val="0"/>
                    <w:sz w:val="26"/>
                    <w:szCs w:val="26"/>
                    <w:rtl/>
                  </w:rPr>
                </w:pPr>
                <w:r>
                  <w:rPr>
                    <w:rFonts w:ascii="Arial" w:hAnsi="Arial" w:hint="cs"/>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5D3775" w:rsidRPr="00E54CD9" w:rsidRDefault="00D91360" w:rsidP="008B4ABE">
            <w:pPr>
              <w:suppressLineNumbers/>
              <w:rPr>
                <w:rFonts w:ascii="Arial" w:hAnsi="Arial"/>
                <w:b/>
                <w:bCs/>
                <w:noProof w:val="0"/>
                <w:sz w:val="26"/>
                <w:szCs w:val="26"/>
                <w:rtl/>
              </w:rPr>
            </w:pPr>
            <w:sdt>
              <w:sdtPr>
                <w:rPr>
                  <w:rtl/>
                </w:rPr>
                <w:alias w:val="1571"/>
                <w:tag w:val="1571"/>
                <w:id w:val="-1760977954"/>
                <w:text w:multiLine="1"/>
              </w:sdtPr>
              <w:sdtEndPr/>
              <w:sdtContent>
                <w:r w:rsidR="005D3775">
                  <w:rPr>
                    <w:rFonts w:ascii="Arial" w:hAnsi="Arial"/>
                    <w:b/>
                    <w:bCs/>
                    <w:noProof w:val="0"/>
                    <w:sz w:val="26"/>
                    <w:szCs w:val="26"/>
                    <w:rtl/>
                  </w:rPr>
                  <w:t>1</w:t>
                </w:r>
              </w:sdtContent>
            </w:sdt>
            <w:r w:rsidR="005D3775">
              <w:rPr>
                <w:rFonts w:ascii="Arial" w:hAnsi="Arial"/>
                <w:b/>
                <w:bCs/>
                <w:noProof w:val="0"/>
                <w:sz w:val="26"/>
                <w:szCs w:val="26"/>
                <w:rtl/>
              </w:rPr>
              <w:t>.</w:t>
            </w:r>
            <w:r w:rsidR="005D3775">
              <w:rPr>
                <w:rFonts w:ascii="Arial" w:hAnsi="Arial" w:hint="cs"/>
                <w:b/>
                <w:bCs/>
                <w:noProof w:val="0"/>
                <w:sz w:val="26"/>
                <w:szCs w:val="26"/>
                <w:rtl/>
              </w:rPr>
              <w:t xml:space="preserve"> </w:t>
            </w:r>
            <w:r w:rsidR="008B4ABE">
              <w:rPr>
                <w:rFonts w:ascii="Arial" w:hAnsi="Arial" w:hint="cs"/>
                <w:b/>
                <w:bCs/>
                <w:noProof w:val="0"/>
                <w:sz w:val="26"/>
                <w:szCs w:val="26"/>
                <w:rtl/>
              </w:rPr>
              <w:t>פלוני</w:t>
            </w:r>
          </w:p>
          <w:p w:rsidR="0094424E" w:rsidRDefault="00D91360" w:rsidP="008B4ABE">
            <w:pPr>
              <w:suppressLineNumbers/>
              <w:rPr>
                <w:b/>
                <w:bCs/>
                <w:noProof w:val="0"/>
                <w:sz w:val="26"/>
                <w:szCs w:val="26"/>
              </w:rPr>
            </w:pPr>
            <w:sdt>
              <w:sdtPr>
                <w:rPr>
                  <w:rtl/>
                </w:rPr>
                <w:alias w:val="1571"/>
                <w:tag w:val="1571"/>
                <w:id w:val="1806513162"/>
                <w:text w:multiLine="1"/>
              </w:sdtPr>
              <w:sdtEndPr/>
              <w:sdtContent>
                <w:r w:rsidR="005D3775">
                  <w:rPr>
                    <w:rFonts w:ascii="Arial" w:hAnsi="Arial"/>
                    <w:b/>
                    <w:bCs/>
                    <w:noProof w:val="0"/>
                    <w:sz w:val="26"/>
                    <w:szCs w:val="26"/>
                    <w:rtl/>
                  </w:rPr>
                  <w:t>2</w:t>
                </w:r>
              </w:sdtContent>
            </w:sdt>
            <w:r w:rsidR="005D3775">
              <w:rPr>
                <w:rFonts w:ascii="Arial" w:hAnsi="Arial"/>
                <w:b/>
                <w:bCs/>
                <w:noProof w:val="0"/>
                <w:sz w:val="26"/>
                <w:szCs w:val="26"/>
                <w:rtl/>
              </w:rPr>
              <w:t>.</w:t>
            </w:r>
            <w:r w:rsidR="005D3775">
              <w:rPr>
                <w:rFonts w:ascii="Arial" w:hAnsi="Arial" w:hint="cs"/>
                <w:b/>
                <w:bCs/>
                <w:noProof w:val="0"/>
                <w:sz w:val="26"/>
                <w:szCs w:val="26"/>
                <w:rtl/>
              </w:rPr>
              <w:t xml:space="preserve"> </w:t>
            </w:r>
            <w:sdt>
              <w:sdtPr>
                <w:rPr>
                  <w:b/>
                  <w:bCs/>
                  <w:rtl/>
                </w:rPr>
                <w:alias w:val="1486"/>
                <w:tag w:val="1486"/>
                <w:id w:val="-1090155240"/>
                <w:text w:multiLine="1"/>
              </w:sdtPr>
              <w:sdtEndPr/>
              <w:sdtContent>
                <w:r w:rsidR="008B4ABE" w:rsidRPr="008B4ABE">
                  <w:rPr>
                    <w:rFonts w:hint="cs"/>
                    <w:b/>
                    <w:bCs/>
                    <w:rtl/>
                  </w:rPr>
                  <w:t>אלמונית</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91360" w:rsidP="00FF4B76">
            <w:pPr>
              <w:suppressLineNumbers/>
              <w:rPr>
                <w:rFonts w:ascii="Arial" w:hAnsi="Arial"/>
                <w:b/>
                <w:bCs/>
                <w:noProof w:val="0"/>
                <w:sz w:val="26"/>
                <w:szCs w:val="26"/>
              </w:rPr>
            </w:pPr>
            <w:sdt>
              <w:sdtPr>
                <w:rPr>
                  <w:rtl/>
                </w:rPr>
                <w:alias w:val="1184"/>
                <w:tag w:val="1184"/>
                <w:id w:val="-340621022"/>
                <w:text w:multiLine="1"/>
              </w:sdtPr>
              <w:sdtEndPr/>
              <w:sdtContent>
                <w:r w:rsidR="005D3775">
                  <w:rPr>
                    <w:rFonts w:ascii="Arial" w:hAnsi="Arial" w:hint="cs"/>
                    <w:b/>
                    <w:bCs/>
                    <w:noProof w:val="0"/>
                    <w:sz w:val="26"/>
                    <w:szCs w:val="26"/>
                    <w:rtl/>
                  </w:rPr>
                  <w:t xml:space="preserve">משיבה </w:t>
                </w:r>
              </w:sdtContent>
            </w:sdt>
          </w:p>
        </w:tc>
        <w:tc>
          <w:tcPr>
            <w:tcW w:w="5571" w:type="dxa"/>
            <w:gridSpan w:val="2"/>
          </w:tcPr>
          <w:p w:rsidR="005D3775" w:rsidRDefault="008B4ABE" w:rsidP="00897DAF">
            <w:pPr>
              <w:suppressLineNumbers/>
              <w:rPr>
                <w:rtl/>
              </w:rPr>
            </w:pPr>
            <w:r>
              <w:rPr>
                <w:rFonts w:ascii="Arial" w:hAnsi="Arial" w:hint="cs"/>
                <w:b/>
                <w:bCs/>
                <w:noProof w:val="0"/>
                <w:sz w:val="26"/>
                <w:szCs w:val="26"/>
                <w:rtl/>
              </w:rPr>
              <w:t>פלונית</w:t>
            </w:r>
          </w:p>
          <w:p w:rsidR="0094424E" w:rsidRPr="00E54CD9" w:rsidRDefault="0094424E" w:rsidP="00897DAF">
            <w:pPr>
              <w:suppressLineNumbers/>
              <w:rPr>
                <w:rFonts w:ascii="Arial" w:hAnsi="Arial"/>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4C17EE" w:rsidTr="00D620FD">
        <w:trPr>
          <w:jc w:val="center"/>
        </w:trPr>
        <w:tc>
          <w:tcPr>
            <w:tcW w:w="8820" w:type="dxa"/>
            <w:gridSpan w:val="4"/>
          </w:tcPr>
          <w:p w:rsidR="00401CE4" w:rsidRDefault="00401CE4">
            <w:pPr>
              <w:suppressLineNumbers/>
              <w:rPr>
                <w:rFonts w:ascii="Arial" w:hAnsi="Arial"/>
                <w:b/>
                <w:bCs/>
                <w:noProof w:val="0"/>
                <w:sz w:val="26"/>
                <w:szCs w:val="26"/>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C4584" w:rsidRDefault="005D3775" w:rsidP="008B4ABE">
      <w:pPr>
        <w:pStyle w:val="ad"/>
        <w:numPr>
          <w:ilvl w:val="0"/>
          <w:numId w:val="1"/>
        </w:numPr>
        <w:spacing w:after="240" w:line="360" w:lineRule="auto"/>
        <w:ind w:left="714" w:hanging="357"/>
        <w:contextualSpacing w:val="0"/>
        <w:jc w:val="both"/>
        <w:rPr>
          <w:rFonts w:ascii="Arial" w:hAnsi="Arial"/>
          <w:noProof w:val="0"/>
        </w:rPr>
      </w:pPr>
      <w:bookmarkStart w:id="1" w:name="NGCSBookmark"/>
      <w:bookmarkEnd w:id="1"/>
      <w:r>
        <w:rPr>
          <w:rFonts w:ascii="Arial" w:hAnsi="Arial" w:hint="cs"/>
          <w:noProof w:val="0"/>
          <w:rtl/>
        </w:rPr>
        <w:t xml:space="preserve">ביום 23.7.2024 הוגשה ע"י </w:t>
      </w:r>
      <w:r w:rsidR="000C4584">
        <w:rPr>
          <w:rFonts w:ascii="Arial" w:hAnsi="Arial" w:hint="cs"/>
          <w:noProof w:val="0"/>
          <w:rtl/>
        </w:rPr>
        <w:t xml:space="preserve">המשיבה (להלן גם: </w:t>
      </w:r>
      <w:r w:rsidR="000C4584" w:rsidRPr="000C4584">
        <w:rPr>
          <w:rFonts w:ascii="Arial" w:hAnsi="Arial" w:hint="cs"/>
          <w:b/>
          <w:bCs/>
          <w:noProof w:val="0"/>
          <w:rtl/>
        </w:rPr>
        <w:t>"התובעת"</w:t>
      </w:r>
      <w:r w:rsidR="000C4584">
        <w:rPr>
          <w:rFonts w:ascii="Arial" w:hAnsi="Arial" w:hint="cs"/>
          <w:noProof w:val="0"/>
          <w:rtl/>
        </w:rPr>
        <w:t>)</w:t>
      </w:r>
      <w:r>
        <w:rPr>
          <w:rFonts w:ascii="Arial" w:hAnsi="Arial" w:hint="cs"/>
          <w:noProof w:val="0"/>
          <w:rtl/>
        </w:rPr>
        <w:t xml:space="preserve"> תביעה ש</w:t>
      </w:r>
      <w:r w:rsidR="00BB1267">
        <w:rPr>
          <w:rFonts w:ascii="Arial" w:hAnsi="Arial" w:hint="cs"/>
          <w:noProof w:val="0"/>
          <w:rtl/>
        </w:rPr>
        <w:t>הוגדרה כתביעה ל"</w:t>
      </w:r>
      <w:r>
        <w:rPr>
          <w:rFonts w:ascii="Arial" w:hAnsi="Arial" w:hint="cs"/>
          <w:noProof w:val="0"/>
          <w:rtl/>
        </w:rPr>
        <w:t xml:space="preserve"> </w:t>
      </w:r>
      <w:r w:rsidR="00BB089D">
        <w:rPr>
          <w:rFonts w:ascii="Arial" w:hAnsi="Arial" w:hint="cs"/>
          <w:noProof w:val="0"/>
          <w:rtl/>
        </w:rPr>
        <w:t xml:space="preserve">מתן </w:t>
      </w:r>
      <w:r>
        <w:rPr>
          <w:rFonts w:ascii="Arial" w:hAnsi="Arial" w:hint="cs"/>
          <w:noProof w:val="0"/>
          <w:rtl/>
        </w:rPr>
        <w:t xml:space="preserve">פסק דין הצהרתי לפיו </w:t>
      </w:r>
      <w:r w:rsidR="000C4584">
        <w:rPr>
          <w:rFonts w:ascii="Arial" w:hAnsi="Arial" w:hint="cs"/>
          <w:noProof w:val="0"/>
          <w:rtl/>
        </w:rPr>
        <w:t>לתובעת</w:t>
      </w:r>
      <w:r>
        <w:rPr>
          <w:rFonts w:ascii="Arial" w:hAnsi="Arial" w:hint="cs"/>
          <w:noProof w:val="0"/>
          <w:rtl/>
        </w:rPr>
        <w:t xml:space="preserve"> זכויות חזקה ושימוש </w:t>
      </w:r>
      <w:r w:rsidR="000C4584">
        <w:rPr>
          <w:rFonts w:ascii="Arial" w:hAnsi="Arial" w:hint="cs"/>
          <w:noProof w:val="0"/>
          <w:rtl/>
        </w:rPr>
        <w:t xml:space="preserve">במגרש הידוע </w:t>
      </w:r>
      <w:r w:rsidR="008B4ABE">
        <w:rPr>
          <w:rFonts w:ascii="Arial" w:hAnsi="Arial" w:hint="cs"/>
          <w:noProof w:val="0"/>
          <w:rtl/>
        </w:rPr>
        <w:t>--</w:t>
      </w:r>
      <w:r w:rsidR="000C4584">
        <w:rPr>
          <w:rFonts w:ascii="Arial" w:hAnsi="Arial" w:hint="cs"/>
          <w:noProof w:val="0"/>
          <w:rtl/>
        </w:rPr>
        <w:t xml:space="preserve">, </w:t>
      </w:r>
      <w:r w:rsidR="00BB089D">
        <w:rPr>
          <w:rFonts w:ascii="Arial" w:hAnsi="Arial" w:hint="cs"/>
          <w:noProof w:val="0"/>
          <w:rtl/>
        </w:rPr>
        <w:t xml:space="preserve">בשכונה </w:t>
      </w:r>
      <w:r w:rsidR="008B4ABE">
        <w:rPr>
          <w:rFonts w:ascii="Arial" w:hAnsi="Arial" w:hint="cs"/>
          <w:noProof w:val="0"/>
          <w:rtl/>
        </w:rPr>
        <w:t>--</w:t>
      </w:r>
      <w:r w:rsidR="00BB089D">
        <w:rPr>
          <w:rFonts w:ascii="Arial" w:hAnsi="Arial" w:hint="cs"/>
          <w:noProof w:val="0"/>
          <w:rtl/>
        </w:rPr>
        <w:t xml:space="preserve"> ברהט</w:t>
      </w:r>
      <w:r w:rsidR="00BB1267">
        <w:rPr>
          <w:rFonts w:ascii="Arial" w:hAnsi="Arial" w:hint="cs"/>
          <w:noProof w:val="0"/>
          <w:rtl/>
        </w:rPr>
        <w:t>"</w:t>
      </w:r>
      <w:r w:rsidR="00BB089D">
        <w:rPr>
          <w:rFonts w:ascii="Arial" w:hAnsi="Arial" w:hint="cs"/>
          <w:noProof w:val="0"/>
          <w:rtl/>
        </w:rPr>
        <w:t xml:space="preserve"> (להלן: "</w:t>
      </w:r>
      <w:r w:rsidR="00BB089D" w:rsidRPr="00BB089D">
        <w:rPr>
          <w:rFonts w:ascii="Arial" w:hAnsi="Arial" w:hint="cs"/>
          <w:b/>
          <w:bCs/>
          <w:noProof w:val="0"/>
          <w:rtl/>
        </w:rPr>
        <w:t>הנכס</w:t>
      </w:r>
      <w:r w:rsidR="00BB089D">
        <w:rPr>
          <w:rFonts w:ascii="Arial" w:hAnsi="Arial" w:hint="cs"/>
          <w:noProof w:val="0"/>
          <w:rtl/>
        </w:rPr>
        <w:t>")</w:t>
      </w:r>
      <w:r w:rsidR="00A02DCE">
        <w:rPr>
          <w:rFonts w:ascii="Arial" w:hAnsi="Arial" w:hint="cs"/>
          <w:noProof w:val="0"/>
          <w:rtl/>
        </w:rPr>
        <w:t xml:space="preserve">. </w:t>
      </w:r>
    </w:p>
    <w:p w:rsidR="003D7B67" w:rsidRPr="00FF4B76" w:rsidRDefault="00A02DCE" w:rsidP="00FF4B76">
      <w:pPr>
        <w:pStyle w:val="ad"/>
        <w:numPr>
          <w:ilvl w:val="0"/>
          <w:numId w:val="1"/>
        </w:numPr>
        <w:spacing w:after="240" w:line="360" w:lineRule="auto"/>
        <w:ind w:left="714" w:hanging="357"/>
        <w:contextualSpacing w:val="0"/>
        <w:jc w:val="both"/>
        <w:rPr>
          <w:rFonts w:ascii="Arial" w:hAnsi="Arial"/>
          <w:noProof w:val="0"/>
          <w:rtl/>
        </w:rPr>
      </w:pPr>
      <w:r>
        <w:rPr>
          <w:rFonts w:ascii="Arial" w:hAnsi="Arial" w:hint="cs"/>
          <w:noProof w:val="0"/>
          <w:rtl/>
        </w:rPr>
        <w:t xml:space="preserve">ביום 14.10.2024 הגישו המבקשים (להלן גם: </w:t>
      </w:r>
      <w:r w:rsidR="000C4584" w:rsidRPr="000C4584">
        <w:rPr>
          <w:rFonts w:ascii="Arial" w:hAnsi="Arial" w:hint="cs"/>
          <w:b/>
          <w:bCs/>
          <w:noProof w:val="0"/>
          <w:rtl/>
        </w:rPr>
        <w:t>"</w:t>
      </w:r>
      <w:r w:rsidRPr="000C4584">
        <w:rPr>
          <w:rFonts w:ascii="Arial" w:hAnsi="Arial" w:hint="cs"/>
          <w:b/>
          <w:bCs/>
          <w:noProof w:val="0"/>
          <w:rtl/>
        </w:rPr>
        <w:t>הנתבעים"</w:t>
      </w:r>
      <w:r>
        <w:rPr>
          <w:rFonts w:ascii="Arial" w:hAnsi="Arial" w:hint="cs"/>
          <w:noProof w:val="0"/>
          <w:rtl/>
        </w:rPr>
        <w:t xml:space="preserve">) בקשה להורות על סילוק </w:t>
      </w:r>
      <w:r w:rsidR="000C4584">
        <w:rPr>
          <w:rFonts w:ascii="Arial" w:hAnsi="Arial" w:hint="cs"/>
          <w:noProof w:val="0"/>
          <w:rtl/>
        </w:rPr>
        <w:t>ה</w:t>
      </w:r>
      <w:r>
        <w:rPr>
          <w:rFonts w:ascii="Arial" w:hAnsi="Arial" w:hint="cs"/>
          <w:noProof w:val="0"/>
          <w:rtl/>
        </w:rPr>
        <w:t xml:space="preserve">תביעה על הסף בהתאם לסמכות בית המשפט לפי תקנה 43 לתקנות סדר </w:t>
      </w:r>
      <w:r w:rsidR="000C4584">
        <w:rPr>
          <w:rFonts w:ascii="Arial" w:hAnsi="Arial" w:hint="cs"/>
          <w:noProof w:val="0"/>
          <w:rtl/>
        </w:rPr>
        <w:t>ה</w:t>
      </w:r>
      <w:r>
        <w:rPr>
          <w:rFonts w:ascii="Arial" w:hAnsi="Arial" w:hint="cs"/>
          <w:noProof w:val="0"/>
          <w:rtl/>
        </w:rPr>
        <w:t xml:space="preserve">דין האזרחי, </w:t>
      </w:r>
      <w:r w:rsidR="000C4584">
        <w:rPr>
          <w:rFonts w:ascii="Arial" w:hAnsi="Arial" w:hint="cs"/>
          <w:noProof w:val="0"/>
          <w:rtl/>
        </w:rPr>
        <w:t>התשע"</w:t>
      </w:r>
      <w:r>
        <w:rPr>
          <w:rFonts w:ascii="Arial" w:hAnsi="Arial" w:hint="cs"/>
          <w:noProof w:val="0"/>
          <w:rtl/>
        </w:rPr>
        <w:t xml:space="preserve">ט </w:t>
      </w:r>
      <w:r>
        <w:rPr>
          <w:rFonts w:ascii="Arial" w:hAnsi="Arial"/>
          <w:noProof w:val="0"/>
          <w:rtl/>
        </w:rPr>
        <w:t>–</w:t>
      </w:r>
      <w:r>
        <w:rPr>
          <w:rFonts w:ascii="Arial" w:hAnsi="Arial" w:hint="cs"/>
          <w:noProof w:val="0"/>
          <w:rtl/>
        </w:rPr>
        <w:t xml:space="preserve"> 2018. </w:t>
      </w:r>
      <w:r w:rsidR="003D7B67">
        <w:rPr>
          <w:rFonts w:ascii="Arial" w:hAnsi="Arial" w:hint="cs"/>
          <w:noProof w:val="0"/>
          <w:rtl/>
        </w:rPr>
        <w:t xml:space="preserve">ביום 25.10.24 הגיבה המשיבה תגובתה לבקשה ומכאן החלטה זו. </w:t>
      </w:r>
    </w:p>
    <w:p w:rsidR="006C2384" w:rsidRPr="0059605B" w:rsidRDefault="006C2384" w:rsidP="006C2384">
      <w:pPr>
        <w:spacing w:after="240" w:line="360" w:lineRule="auto"/>
        <w:ind w:left="357"/>
        <w:jc w:val="both"/>
        <w:rPr>
          <w:rFonts w:ascii="Arial" w:hAnsi="Arial"/>
          <w:b/>
          <w:bCs/>
          <w:noProof w:val="0"/>
          <w:u w:val="single"/>
        </w:rPr>
      </w:pPr>
      <w:r w:rsidRPr="0059605B">
        <w:rPr>
          <w:rFonts w:ascii="Arial" w:hAnsi="Arial" w:hint="cs"/>
          <w:b/>
          <w:bCs/>
          <w:noProof w:val="0"/>
          <w:u w:val="single"/>
          <w:rtl/>
        </w:rPr>
        <w:t>טענות המבקשים</w:t>
      </w:r>
    </w:p>
    <w:p w:rsidR="00935F4F" w:rsidRDefault="006D21B8" w:rsidP="00935F4F">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המבקשים טוענים כי </w:t>
      </w:r>
      <w:r w:rsidR="003D7B67">
        <w:rPr>
          <w:rFonts w:ascii="Arial" w:hAnsi="Arial" w:hint="cs"/>
          <w:noProof w:val="0"/>
          <w:rtl/>
        </w:rPr>
        <w:t>שאלת ה</w:t>
      </w:r>
      <w:r>
        <w:rPr>
          <w:rFonts w:ascii="Arial" w:hAnsi="Arial" w:hint="cs"/>
          <w:noProof w:val="0"/>
          <w:rtl/>
        </w:rPr>
        <w:t>זכויות ב</w:t>
      </w:r>
      <w:r w:rsidR="0063781B">
        <w:rPr>
          <w:rFonts w:ascii="Arial" w:hAnsi="Arial" w:hint="cs"/>
          <w:noProof w:val="0"/>
          <w:rtl/>
        </w:rPr>
        <w:t>נכס</w:t>
      </w:r>
      <w:r>
        <w:rPr>
          <w:rFonts w:ascii="Arial" w:hAnsi="Arial" w:hint="cs"/>
          <w:noProof w:val="0"/>
          <w:rtl/>
        </w:rPr>
        <w:t xml:space="preserve"> נשוא התביעה </w:t>
      </w:r>
      <w:r w:rsidRPr="00F52706">
        <w:rPr>
          <w:rFonts w:ascii="Arial" w:hAnsi="Arial" w:hint="cs"/>
          <w:b/>
          <w:bCs/>
          <w:noProof w:val="0"/>
          <w:u w:val="single"/>
          <w:rtl/>
        </w:rPr>
        <w:t xml:space="preserve">הוכרעה </w:t>
      </w:r>
      <w:r w:rsidR="0063781B" w:rsidRPr="00F52706">
        <w:rPr>
          <w:rFonts w:ascii="Arial" w:hAnsi="Arial" w:hint="cs"/>
          <w:b/>
          <w:bCs/>
          <w:noProof w:val="0"/>
          <w:u w:val="single"/>
          <w:rtl/>
        </w:rPr>
        <w:t>זה מכבר</w:t>
      </w:r>
      <w:r w:rsidR="0063781B">
        <w:rPr>
          <w:rFonts w:ascii="Arial" w:hAnsi="Arial" w:hint="cs"/>
          <w:noProof w:val="0"/>
          <w:rtl/>
        </w:rPr>
        <w:t xml:space="preserve">, במסגרת </w:t>
      </w:r>
      <w:r w:rsidR="0059605B">
        <w:rPr>
          <w:rFonts w:ascii="Arial" w:hAnsi="Arial" w:hint="cs"/>
          <w:noProof w:val="0"/>
          <w:rtl/>
        </w:rPr>
        <w:t xml:space="preserve">תמ"ש 25813-04-19 (להלן: </w:t>
      </w:r>
      <w:r w:rsidR="0059605B" w:rsidRPr="0059605B">
        <w:rPr>
          <w:rFonts w:ascii="Arial" w:hAnsi="Arial" w:hint="cs"/>
          <w:b/>
          <w:bCs/>
          <w:noProof w:val="0"/>
          <w:rtl/>
        </w:rPr>
        <w:t>"ההליך הקודם"</w:t>
      </w:r>
      <w:r w:rsidR="0063781B">
        <w:rPr>
          <w:rFonts w:ascii="Arial" w:hAnsi="Arial" w:hint="cs"/>
          <w:noProof w:val="0"/>
          <w:rtl/>
        </w:rPr>
        <w:t xml:space="preserve">). </w:t>
      </w:r>
    </w:p>
    <w:p w:rsidR="00F52706" w:rsidRPr="00935F4F" w:rsidRDefault="00AC6CFB" w:rsidP="00935F4F">
      <w:pPr>
        <w:pStyle w:val="ad"/>
        <w:spacing w:after="240" w:line="360" w:lineRule="auto"/>
        <w:ind w:left="714"/>
        <w:contextualSpacing w:val="0"/>
        <w:jc w:val="both"/>
        <w:rPr>
          <w:rFonts w:ascii="Arial" w:hAnsi="Arial"/>
          <w:noProof w:val="0"/>
        </w:rPr>
      </w:pPr>
      <w:r>
        <w:rPr>
          <w:rFonts w:ascii="Arial" w:hAnsi="Arial" w:hint="cs"/>
          <w:noProof w:val="0"/>
          <w:rtl/>
        </w:rPr>
        <w:t>בהליך הקודם</w:t>
      </w:r>
      <w:r w:rsidR="00F52706" w:rsidRPr="00935F4F">
        <w:rPr>
          <w:rFonts w:ascii="Arial" w:hAnsi="Arial" w:hint="cs"/>
          <w:noProof w:val="0"/>
          <w:rtl/>
        </w:rPr>
        <w:t xml:space="preserve">, לאחר </w:t>
      </w:r>
      <w:r w:rsidR="003D7B67" w:rsidRPr="00935F4F">
        <w:rPr>
          <w:rFonts w:ascii="Arial" w:hAnsi="Arial" w:hint="cs"/>
          <w:noProof w:val="0"/>
          <w:rtl/>
        </w:rPr>
        <w:t>ניהול</w:t>
      </w:r>
      <w:r w:rsidR="00F52706" w:rsidRPr="00935F4F">
        <w:rPr>
          <w:rFonts w:ascii="Arial" w:hAnsi="Arial" w:hint="cs"/>
          <w:noProof w:val="0"/>
          <w:rtl/>
        </w:rPr>
        <w:t xml:space="preserve"> של</w:t>
      </w:r>
      <w:r w:rsidR="0059605B" w:rsidRPr="00935F4F">
        <w:rPr>
          <w:rFonts w:ascii="Arial" w:hAnsi="Arial" w:hint="cs"/>
          <w:noProof w:val="0"/>
          <w:rtl/>
        </w:rPr>
        <w:t xml:space="preserve"> הליך</w:t>
      </w:r>
      <w:r w:rsidR="003D7B67" w:rsidRPr="00935F4F">
        <w:rPr>
          <w:rFonts w:ascii="Arial" w:hAnsi="Arial" w:hint="cs"/>
          <w:noProof w:val="0"/>
          <w:rtl/>
        </w:rPr>
        <w:t xml:space="preserve"> הוכחות</w:t>
      </w:r>
      <w:r w:rsidR="0063781B" w:rsidRPr="00935F4F">
        <w:rPr>
          <w:rFonts w:ascii="Arial" w:hAnsi="Arial" w:hint="cs"/>
          <w:noProof w:val="0"/>
          <w:rtl/>
        </w:rPr>
        <w:t>,</w:t>
      </w:r>
      <w:r w:rsidR="003D7B67" w:rsidRPr="00935F4F">
        <w:rPr>
          <w:rFonts w:ascii="Arial" w:hAnsi="Arial" w:hint="cs"/>
          <w:noProof w:val="0"/>
          <w:rtl/>
        </w:rPr>
        <w:t xml:space="preserve"> </w:t>
      </w:r>
      <w:r w:rsidR="00F7420D" w:rsidRPr="00935F4F">
        <w:rPr>
          <w:rFonts w:ascii="Arial" w:hAnsi="Arial" w:hint="cs"/>
          <w:noProof w:val="0"/>
          <w:rtl/>
        </w:rPr>
        <w:t>בו נשמעו</w:t>
      </w:r>
      <w:r w:rsidR="006D21B8" w:rsidRPr="00935F4F">
        <w:rPr>
          <w:rFonts w:ascii="Arial" w:hAnsi="Arial" w:hint="cs"/>
          <w:noProof w:val="0"/>
          <w:rtl/>
        </w:rPr>
        <w:t xml:space="preserve"> כל טענות המשיבה</w:t>
      </w:r>
      <w:r w:rsidR="0063781B" w:rsidRPr="00935F4F">
        <w:rPr>
          <w:rFonts w:ascii="Arial" w:hAnsi="Arial" w:hint="cs"/>
          <w:noProof w:val="0"/>
          <w:rtl/>
        </w:rPr>
        <w:t>, ניתן פסק דין מכריע, במסגרתו נקבע כי על</w:t>
      </w:r>
      <w:r w:rsidR="00935F4F">
        <w:rPr>
          <w:rFonts w:ascii="Arial" w:hAnsi="Arial" w:hint="cs"/>
          <w:noProof w:val="0"/>
          <w:rtl/>
        </w:rPr>
        <w:t>יה</w:t>
      </w:r>
      <w:r w:rsidR="0063781B" w:rsidRPr="00935F4F">
        <w:rPr>
          <w:rFonts w:ascii="Arial" w:hAnsi="Arial" w:hint="cs"/>
          <w:noProof w:val="0"/>
          <w:rtl/>
        </w:rPr>
        <w:t xml:space="preserve"> לפנות את הנכס עד לא יאוחר מיום 5.4.2023. </w:t>
      </w:r>
      <w:r w:rsidR="00F52706" w:rsidRPr="00935F4F">
        <w:rPr>
          <w:rFonts w:ascii="Arial" w:hAnsi="Arial" w:hint="cs"/>
          <w:noProof w:val="0"/>
          <w:rtl/>
        </w:rPr>
        <w:t>המ</w:t>
      </w:r>
      <w:r w:rsidR="00935F4F">
        <w:rPr>
          <w:rFonts w:ascii="Arial" w:hAnsi="Arial" w:hint="cs"/>
          <w:noProof w:val="0"/>
          <w:rtl/>
        </w:rPr>
        <w:t>שיבה</w:t>
      </w:r>
      <w:r w:rsidR="00F52706" w:rsidRPr="00935F4F">
        <w:rPr>
          <w:rFonts w:ascii="Arial" w:hAnsi="Arial" w:hint="cs"/>
          <w:noProof w:val="0"/>
          <w:rtl/>
        </w:rPr>
        <w:t xml:space="preserve"> לא פעלה כאמור בפסק הדין ולא פינתה את הנכס. </w:t>
      </w:r>
    </w:p>
    <w:p w:rsidR="00F52706" w:rsidRPr="00F52706" w:rsidRDefault="00F52706" w:rsidP="00935F4F">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lastRenderedPageBreak/>
        <w:t>יחד עם זאת, המ</w:t>
      </w:r>
      <w:r w:rsidR="00935F4F">
        <w:rPr>
          <w:rFonts w:ascii="Arial" w:hAnsi="Arial" w:hint="cs"/>
          <w:noProof w:val="0"/>
          <w:rtl/>
        </w:rPr>
        <w:t>שיבה</w:t>
      </w:r>
      <w:r>
        <w:rPr>
          <w:rFonts w:ascii="Arial" w:hAnsi="Arial" w:hint="cs"/>
          <w:noProof w:val="0"/>
          <w:rtl/>
        </w:rPr>
        <w:t xml:space="preserve"> אף לא הגישה ערעור על פסק הדין ומשכך הוא הפך לחלוט. </w:t>
      </w:r>
    </w:p>
    <w:p w:rsidR="00935F4F" w:rsidRDefault="0059605B" w:rsidP="00935F4F">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עוד טוענים </w:t>
      </w:r>
      <w:r w:rsidR="00F7420D">
        <w:rPr>
          <w:rFonts w:ascii="Arial" w:hAnsi="Arial" w:hint="cs"/>
          <w:noProof w:val="0"/>
          <w:rtl/>
        </w:rPr>
        <w:t>המבקשים</w:t>
      </w:r>
      <w:r w:rsidR="00935F4F">
        <w:rPr>
          <w:rFonts w:ascii="Arial" w:hAnsi="Arial" w:hint="cs"/>
          <w:noProof w:val="0"/>
          <w:rtl/>
        </w:rPr>
        <w:t>,</w:t>
      </w:r>
      <w:r w:rsidR="00F7420D">
        <w:rPr>
          <w:rFonts w:ascii="Arial" w:hAnsi="Arial" w:hint="cs"/>
          <w:noProof w:val="0"/>
          <w:rtl/>
        </w:rPr>
        <w:t xml:space="preserve"> </w:t>
      </w:r>
      <w:r>
        <w:rPr>
          <w:rFonts w:ascii="Arial" w:hAnsi="Arial" w:hint="cs"/>
          <w:noProof w:val="0"/>
          <w:rtl/>
        </w:rPr>
        <w:t xml:space="preserve">כי התביעה הוגשה בחוסר תום לב, </w:t>
      </w:r>
      <w:r w:rsidRPr="0059605B">
        <w:rPr>
          <w:rFonts w:ascii="Arial" w:hAnsi="Arial" w:hint="cs"/>
          <w:noProof w:val="0"/>
          <w:rtl/>
        </w:rPr>
        <w:t>וכל מטרתה לנסות לעכב את הליכי הפינוי שנקבעו בהליך הקודם</w:t>
      </w:r>
      <w:r w:rsidR="0063781B">
        <w:rPr>
          <w:rFonts w:ascii="Arial" w:hAnsi="Arial" w:hint="cs"/>
          <w:noProof w:val="0"/>
          <w:rtl/>
        </w:rPr>
        <w:t xml:space="preserve"> כאמור לעיל.</w:t>
      </w:r>
      <w:r w:rsidR="00615EAA" w:rsidRPr="0059605B">
        <w:rPr>
          <w:rFonts w:ascii="Arial" w:hAnsi="Arial" w:hint="cs"/>
          <w:noProof w:val="0"/>
          <w:rtl/>
        </w:rPr>
        <w:t xml:space="preserve"> </w:t>
      </w:r>
    </w:p>
    <w:p w:rsidR="00935F4F" w:rsidRPr="00935F4F" w:rsidRDefault="00246197" w:rsidP="00935F4F">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בנוסף, </w:t>
      </w:r>
      <w:r w:rsidR="006E4DC4">
        <w:rPr>
          <w:rFonts w:ascii="Arial" w:hAnsi="Arial" w:hint="cs"/>
          <w:noProof w:val="0"/>
          <w:rtl/>
        </w:rPr>
        <w:t>מעיון בכתב התביעה עולה כי המשיבה לא העלתה טענות חדשות בכתב התביעה</w:t>
      </w:r>
      <w:r w:rsidR="00935F4F">
        <w:rPr>
          <w:rFonts w:ascii="Arial" w:hAnsi="Arial" w:hint="cs"/>
          <w:noProof w:val="0"/>
          <w:rtl/>
        </w:rPr>
        <w:t xml:space="preserve"> בהליך הנוכחי,</w:t>
      </w:r>
      <w:r w:rsidR="006E4DC4">
        <w:rPr>
          <w:rFonts w:ascii="Arial" w:hAnsi="Arial" w:hint="cs"/>
          <w:noProof w:val="0"/>
          <w:rtl/>
        </w:rPr>
        <w:t xml:space="preserve"> וכי כל</w:t>
      </w:r>
      <w:r w:rsidR="00935F4F">
        <w:rPr>
          <w:rFonts w:ascii="Arial" w:hAnsi="Arial" w:hint="cs"/>
          <w:noProof w:val="0"/>
          <w:rtl/>
        </w:rPr>
        <w:t xml:space="preserve"> הטענות שהועלו בה, נבדקו זה מכבר ע"י בית המשפט בהליך הקודם.</w:t>
      </w:r>
    </w:p>
    <w:p w:rsidR="00F7420D" w:rsidRDefault="006E4DC4" w:rsidP="0063781B">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מכאן ש</w:t>
      </w:r>
      <w:r w:rsidR="006C2384" w:rsidRPr="0059605B">
        <w:rPr>
          <w:rFonts w:ascii="Arial" w:hAnsi="Arial" w:hint="cs"/>
          <w:noProof w:val="0"/>
          <w:rtl/>
        </w:rPr>
        <w:t>ניהול הליך זה לא יביא לתוצאה שונה מתוצאת פסק הדין, וט</w:t>
      </w:r>
      <w:r w:rsidR="00F52706">
        <w:rPr>
          <w:rFonts w:ascii="Arial" w:hAnsi="Arial" w:hint="cs"/>
          <w:noProof w:val="0"/>
          <w:rtl/>
        </w:rPr>
        <w:t>ענותיה בהליך זה זהות לטענותיה ב</w:t>
      </w:r>
      <w:r w:rsidR="006C2384" w:rsidRPr="0059605B">
        <w:rPr>
          <w:rFonts w:ascii="Arial" w:hAnsi="Arial" w:hint="cs"/>
          <w:noProof w:val="0"/>
          <w:rtl/>
        </w:rPr>
        <w:t xml:space="preserve">הליך הקודם. </w:t>
      </w:r>
    </w:p>
    <w:p w:rsidR="00555D20" w:rsidRDefault="004F211E" w:rsidP="00555D20">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המבקש</w:t>
      </w:r>
      <w:r w:rsidR="00555D20">
        <w:rPr>
          <w:rFonts w:ascii="Arial" w:hAnsi="Arial" w:hint="cs"/>
          <w:noProof w:val="0"/>
          <w:rtl/>
        </w:rPr>
        <w:t>ים</w:t>
      </w:r>
      <w:r>
        <w:rPr>
          <w:rFonts w:ascii="Arial" w:hAnsi="Arial" w:hint="cs"/>
          <w:noProof w:val="0"/>
          <w:rtl/>
        </w:rPr>
        <w:t xml:space="preserve"> אף התייחס</w:t>
      </w:r>
      <w:r w:rsidR="00555D20">
        <w:rPr>
          <w:rFonts w:ascii="Arial" w:hAnsi="Arial" w:hint="cs"/>
          <w:noProof w:val="0"/>
          <w:rtl/>
        </w:rPr>
        <w:t>ו</w:t>
      </w:r>
      <w:r>
        <w:rPr>
          <w:rFonts w:ascii="Arial" w:hAnsi="Arial" w:hint="cs"/>
          <w:noProof w:val="0"/>
          <w:rtl/>
        </w:rPr>
        <w:t xml:space="preserve"> לטענה "החדשה" לכאורה הנטענת </w:t>
      </w:r>
      <w:r w:rsidR="00555D20">
        <w:rPr>
          <w:rFonts w:ascii="Arial" w:hAnsi="Arial" w:hint="cs"/>
          <w:noProof w:val="0"/>
          <w:rtl/>
        </w:rPr>
        <w:t xml:space="preserve">על ידי המשיבה </w:t>
      </w:r>
      <w:r>
        <w:rPr>
          <w:rFonts w:ascii="Arial" w:hAnsi="Arial" w:hint="cs"/>
          <w:noProof w:val="0"/>
          <w:rtl/>
        </w:rPr>
        <w:t xml:space="preserve">בכתב התביעה, לפיה </w:t>
      </w:r>
      <w:r w:rsidR="00935F4F">
        <w:rPr>
          <w:rFonts w:ascii="Arial" w:hAnsi="Arial" w:hint="cs"/>
          <w:noProof w:val="0"/>
          <w:rtl/>
        </w:rPr>
        <w:t>ה</w:t>
      </w:r>
      <w:r w:rsidR="00555D20">
        <w:rPr>
          <w:rFonts w:ascii="Arial" w:hAnsi="Arial" w:hint="cs"/>
          <w:noProof w:val="0"/>
          <w:rtl/>
        </w:rPr>
        <w:t>יא</w:t>
      </w:r>
      <w:r w:rsidR="00935F4F">
        <w:rPr>
          <w:rFonts w:ascii="Arial" w:hAnsi="Arial" w:hint="cs"/>
          <w:noProof w:val="0"/>
          <w:rtl/>
        </w:rPr>
        <w:t xml:space="preserve"> קיבלה רשות להתגורר בדירה ע"י בנותיה וכן ע"י בנה (המבקש</w:t>
      </w:r>
      <w:r w:rsidR="00555D20">
        <w:rPr>
          <w:rFonts w:ascii="Arial" w:hAnsi="Arial" w:hint="cs"/>
          <w:noProof w:val="0"/>
          <w:rtl/>
        </w:rPr>
        <w:t xml:space="preserve"> מס' 1</w:t>
      </w:r>
      <w:r>
        <w:rPr>
          <w:rFonts w:ascii="Arial" w:hAnsi="Arial" w:hint="cs"/>
          <w:noProof w:val="0"/>
          <w:rtl/>
        </w:rPr>
        <w:t xml:space="preserve">); </w:t>
      </w:r>
    </w:p>
    <w:p w:rsidR="00555D20" w:rsidRDefault="004F211E" w:rsidP="00555D20">
      <w:pPr>
        <w:pStyle w:val="ad"/>
        <w:spacing w:after="240" w:line="360" w:lineRule="auto"/>
        <w:ind w:left="714"/>
        <w:contextualSpacing w:val="0"/>
        <w:jc w:val="both"/>
        <w:rPr>
          <w:rFonts w:ascii="Arial" w:hAnsi="Arial"/>
          <w:noProof w:val="0"/>
          <w:rtl/>
        </w:rPr>
      </w:pPr>
      <w:r w:rsidRPr="00555D20">
        <w:rPr>
          <w:rFonts w:ascii="Arial" w:hAnsi="Arial" w:hint="cs"/>
          <w:noProof w:val="0"/>
          <w:rtl/>
        </w:rPr>
        <w:t xml:space="preserve">בנוגע </w:t>
      </w:r>
      <w:r w:rsidR="00555D20">
        <w:rPr>
          <w:rFonts w:ascii="Arial" w:hAnsi="Arial" w:hint="cs"/>
          <w:noProof w:val="0"/>
          <w:rtl/>
        </w:rPr>
        <w:t>לטענה בדבר הרשות שניתנה על ידי</w:t>
      </w:r>
      <w:r w:rsidRPr="00555D20">
        <w:rPr>
          <w:rFonts w:ascii="Arial" w:hAnsi="Arial" w:hint="cs"/>
          <w:noProof w:val="0"/>
          <w:rtl/>
        </w:rPr>
        <w:t xml:space="preserve"> המבקש </w:t>
      </w:r>
      <w:r w:rsidR="00555D20">
        <w:rPr>
          <w:rFonts w:ascii="Arial" w:hAnsi="Arial" w:hint="cs"/>
          <w:noProof w:val="0"/>
          <w:rtl/>
        </w:rPr>
        <w:t xml:space="preserve">מס' 1, הוא </w:t>
      </w:r>
      <w:r w:rsidRPr="00555D20">
        <w:rPr>
          <w:rFonts w:ascii="Arial" w:hAnsi="Arial" w:hint="cs"/>
          <w:noProof w:val="0"/>
          <w:rtl/>
        </w:rPr>
        <w:t>מכחיש זאת בתוקף ולבקשה לסילוק על הסף צורף גם תצהירו בעניין</w:t>
      </w:r>
      <w:r w:rsidR="00935F4F" w:rsidRPr="00555D20">
        <w:rPr>
          <w:rFonts w:ascii="Arial" w:hAnsi="Arial" w:hint="cs"/>
          <w:noProof w:val="0"/>
          <w:rtl/>
        </w:rPr>
        <w:t xml:space="preserve">. </w:t>
      </w:r>
    </w:p>
    <w:p w:rsidR="00935F4F" w:rsidRDefault="00935F4F" w:rsidP="00555D20">
      <w:pPr>
        <w:pStyle w:val="ad"/>
        <w:spacing w:after="240" w:line="360" w:lineRule="auto"/>
        <w:ind w:left="714"/>
        <w:contextualSpacing w:val="0"/>
        <w:jc w:val="both"/>
        <w:rPr>
          <w:rFonts w:ascii="Arial" w:hAnsi="Arial"/>
          <w:noProof w:val="0"/>
          <w:rtl/>
        </w:rPr>
      </w:pPr>
      <w:r w:rsidRPr="00555D20">
        <w:rPr>
          <w:rFonts w:ascii="Arial" w:hAnsi="Arial" w:hint="cs"/>
          <w:noProof w:val="0"/>
          <w:rtl/>
        </w:rPr>
        <w:t xml:space="preserve">בנוגע </w:t>
      </w:r>
      <w:r w:rsidR="004F211E" w:rsidRPr="00555D20">
        <w:rPr>
          <w:rFonts w:ascii="Arial" w:hAnsi="Arial" w:hint="cs"/>
          <w:noProof w:val="0"/>
          <w:rtl/>
        </w:rPr>
        <w:t>ל</w:t>
      </w:r>
      <w:r w:rsidR="00555D20">
        <w:rPr>
          <w:rFonts w:ascii="Arial" w:hAnsi="Arial" w:hint="cs"/>
          <w:noProof w:val="0"/>
          <w:rtl/>
        </w:rPr>
        <w:t xml:space="preserve">טענה בדבר </w:t>
      </w:r>
      <w:r w:rsidR="004F211E" w:rsidRPr="00555D20">
        <w:rPr>
          <w:rFonts w:ascii="Arial" w:hAnsi="Arial" w:hint="cs"/>
          <w:noProof w:val="0"/>
          <w:rtl/>
        </w:rPr>
        <w:t>הרשות ש</w:t>
      </w:r>
      <w:r w:rsidR="00555D20">
        <w:rPr>
          <w:rFonts w:ascii="Arial" w:hAnsi="Arial" w:hint="cs"/>
          <w:noProof w:val="0"/>
          <w:rtl/>
        </w:rPr>
        <w:t>ניתנה למבקשת</w:t>
      </w:r>
      <w:r w:rsidR="004F211E" w:rsidRPr="00555D20">
        <w:rPr>
          <w:rFonts w:ascii="Arial" w:hAnsi="Arial" w:hint="cs"/>
          <w:noProof w:val="0"/>
          <w:rtl/>
        </w:rPr>
        <w:t xml:space="preserve"> על ידי</w:t>
      </w:r>
      <w:r w:rsidRPr="00555D20">
        <w:rPr>
          <w:rFonts w:ascii="Arial" w:hAnsi="Arial" w:hint="cs"/>
          <w:noProof w:val="0"/>
          <w:rtl/>
        </w:rPr>
        <w:t xml:space="preserve"> בנותיה, </w:t>
      </w:r>
      <w:r w:rsidR="004F211E" w:rsidRPr="00555D20">
        <w:rPr>
          <w:rFonts w:ascii="Arial" w:hAnsi="Arial" w:hint="cs"/>
          <w:noProof w:val="0"/>
          <w:rtl/>
        </w:rPr>
        <w:t>המבקש</w:t>
      </w:r>
      <w:r w:rsidR="00555D20">
        <w:rPr>
          <w:rFonts w:ascii="Arial" w:hAnsi="Arial" w:hint="cs"/>
          <w:noProof w:val="0"/>
          <w:rtl/>
        </w:rPr>
        <w:t>ים טוענים</w:t>
      </w:r>
      <w:r w:rsidR="004F211E" w:rsidRPr="00555D20">
        <w:rPr>
          <w:rFonts w:ascii="Arial" w:hAnsi="Arial" w:hint="cs"/>
          <w:noProof w:val="0"/>
          <w:rtl/>
        </w:rPr>
        <w:t xml:space="preserve"> כי המדובר </w:t>
      </w:r>
      <w:r w:rsidRPr="00555D20">
        <w:rPr>
          <w:rFonts w:ascii="Arial" w:hAnsi="Arial" w:hint="cs"/>
          <w:noProof w:val="0"/>
          <w:rtl/>
        </w:rPr>
        <w:t xml:space="preserve">בטענה מופרכת שכן </w:t>
      </w:r>
      <w:r w:rsidR="00555D20">
        <w:rPr>
          <w:rFonts w:ascii="Arial" w:hAnsi="Arial" w:hint="cs"/>
          <w:noProof w:val="0"/>
          <w:rtl/>
        </w:rPr>
        <w:t>לבנותיה אין ז</w:t>
      </w:r>
      <w:r w:rsidRPr="00555D20">
        <w:rPr>
          <w:rFonts w:ascii="Arial" w:hAnsi="Arial" w:hint="cs"/>
          <w:noProof w:val="0"/>
          <w:rtl/>
        </w:rPr>
        <w:t xml:space="preserve">כויות בנכס. </w:t>
      </w:r>
    </w:p>
    <w:p w:rsidR="00555D20" w:rsidRPr="00555D20" w:rsidRDefault="00555D20" w:rsidP="00A201C9">
      <w:pPr>
        <w:pStyle w:val="ad"/>
        <w:numPr>
          <w:ilvl w:val="0"/>
          <w:numId w:val="1"/>
        </w:numPr>
        <w:spacing w:after="240" w:line="360" w:lineRule="auto"/>
        <w:contextualSpacing w:val="0"/>
        <w:jc w:val="both"/>
        <w:rPr>
          <w:rFonts w:ascii="Arial" w:hAnsi="Arial"/>
          <w:noProof w:val="0"/>
        </w:rPr>
      </w:pPr>
      <w:r>
        <w:rPr>
          <w:rFonts w:ascii="Arial" w:hAnsi="Arial" w:hint="cs"/>
          <w:noProof w:val="0"/>
          <w:rtl/>
        </w:rPr>
        <w:t>המבקשים מתייחסים</w:t>
      </w:r>
      <w:r w:rsidR="002D0D39">
        <w:rPr>
          <w:rFonts w:ascii="Arial" w:hAnsi="Arial" w:hint="cs"/>
          <w:noProof w:val="0"/>
          <w:rtl/>
        </w:rPr>
        <w:t xml:space="preserve"> בבקשתם גם</w:t>
      </w:r>
      <w:r w:rsidR="00A201C9">
        <w:rPr>
          <w:rFonts w:ascii="Arial" w:hAnsi="Arial" w:hint="cs"/>
          <w:noProof w:val="0"/>
          <w:rtl/>
        </w:rPr>
        <w:t xml:space="preserve"> לבקשות המשיבה, לעיכוב הליכי ה</w:t>
      </w:r>
      <w:r w:rsidR="002D0D39">
        <w:rPr>
          <w:rFonts w:ascii="Arial" w:hAnsi="Arial" w:hint="cs"/>
          <w:noProof w:val="0"/>
          <w:rtl/>
        </w:rPr>
        <w:t>פינוי שהוגשו</w:t>
      </w:r>
      <w:r w:rsidR="00A201C9">
        <w:rPr>
          <w:rFonts w:ascii="Arial" w:hAnsi="Arial" w:hint="cs"/>
          <w:noProof w:val="0"/>
          <w:rtl/>
        </w:rPr>
        <w:t xml:space="preserve"> על ידה</w:t>
      </w:r>
      <w:r w:rsidR="002D0D39">
        <w:rPr>
          <w:rFonts w:ascii="Arial" w:hAnsi="Arial" w:hint="cs"/>
          <w:noProof w:val="0"/>
          <w:rtl/>
        </w:rPr>
        <w:t xml:space="preserve"> הן</w:t>
      </w:r>
      <w:r w:rsidR="00A201C9">
        <w:rPr>
          <w:rFonts w:ascii="Arial" w:hAnsi="Arial" w:hint="cs"/>
          <w:noProof w:val="0"/>
          <w:rtl/>
        </w:rPr>
        <w:t xml:space="preserve"> ללשכת ההוצאה לפועל </w:t>
      </w:r>
      <w:r w:rsidR="002D0D39">
        <w:rPr>
          <w:rFonts w:ascii="Arial" w:hAnsi="Arial" w:hint="cs"/>
          <w:noProof w:val="0"/>
          <w:rtl/>
        </w:rPr>
        <w:t>(</w:t>
      </w:r>
      <w:r w:rsidR="00A201C9">
        <w:rPr>
          <w:rFonts w:ascii="Arial" w:hAnsi="Arial" w:hint="cs"/>
          <w:noProof w:val="0"/>
          <w:rtl/>
        </w:rPr>
        <w:t xml:space="preserve">בתיק מס' 512527-04-24 </w:t>
      </w:r>
      <w:r w:rsidR="002D0D39">
        <w:rPr>
          <w:rFonts w:ascii="Arial" w:hAnsi="Arial" w:hint="cs"/>
          <w:noProof w:val="0"/>
          <w:rtl/>
        </w:rPr>
        <w:t>אשר נפתח ע"י המבקשים נגדה לצורך פינויה) והן בהליך הקודם. המבקשים מציינים כי הבקשות נדחו.</w:t>
      </w:r>
    </w:p>
    <w:p w:rsidR="006C2384" w:rsidRPr="002D0D39" w:rsidRDefault="006C2384" w:rsidP="006C2384">
      <w:pPr>
        <w:spacing w:after="240" w:line="360" w:lineRule="auto"/>
        <w:ind w:left="357"/>
        <w:jc w:val="both"/>
        <w:rPr>
          <w:rFonts w:ascii="Arial" w:hAnsi="Arial"/>
          <w:noProof w:val="0"/>
          <w:u w:val="single"/>
          <w:rtl/>
        </w:rPr>
      </w:pPr>
      <w:r w:rsidRPr="002D0D39">
        <w:rPr>
          <w:rFonts w:ascii="Arial" w:hAnsi="Arial" w:hint="cs"/>
          <w:b/>
          <w:bCs/>
          <w:noProof w:val="0"/>
          <w:u w:val="single"/>
          <w:rtl/>
        </w:rPr>
        <w:lastRenderedPageBreak/>
        <w:t>טענות המשיבה</w:t>
      </w:r>
    </w:p>
    <w:p w:rsidR="008F48E3" w:rsidRDefault="008F48E3" w:rsidP="005F51C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המשיבה מתנגדת לבקשה וטוענת </w:t>
      </w:r>
      <w:r w:rsidR="002D0D39">
        <w:rPr>
          <w:rFonts w:ascii="Arial" w:hAnsi="Arial" w:hint="cs"/>
          <w:noProof w:val="0"/>
          <w:rtl/>
        </w:rPr>
        <w:t xml:space="preserve">כי הבקשה נטענה באופן כללי, שטחי </w:t>
      </w:r>
      <w:r>
        <w:rPr>
          <w:rFonts w:ascii="Arial" w:hAnsi="Arial" w:hint="cs"/>
          <w:noProof w:val="0"/>
          <w:rtl/>
        </w:rPr>
        <w:t xml:space="preserve">ולא מפורט, ורק מטעם זה דינה להידחות. </w:t>
      </w:r>
    </w:p>
    <w:p w:rsidR="002F12F9" w:rsidRDefault="002F12F9" w:rsidP="002F12F9">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המשיבה טוענת כי סילוק על הסף שמור למקרים חריגים וקיצוניים, שכן החלטה זו נועלת את דלתות בית המשפט בפני בעל דין. משכך, ככל שקיימת אפשרות ולו קלושה שבעל הדין יזכה בסעד המבוקש על ידו, אין למנוע ממנו את הגישה לערכאות. </w:t>
      </w:r>
      <w:r w:rsidRPr="006C2384">
        <w:rPr>
          <w:rFonts w:ascii="Arial" w:hAnsi="Arial" w:hint="cs"/>
          <w:noProof w:val="0"/>
          <w:rtl/>
        </w:rPr>
        <w:t xml:space="preserve"> </w:t>
      </w:r>
    </w:p>
    <w:p w:rsidR="002F12F9" w:rsidRDefault="002F12F9" w:rsidP="005F51C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המשיבה אף טוענת כי הבקשה לסילוק על הסף מבוססת על טענה אחת, קיומו של מעשה בית דין. </w:t>
      </w:r>
    </w:p>
    <w:p w:rsidR="00752687" w:rsidRDefault="00752687" w:rsidP="005F51C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באשר ל</w:t>
      </w:r>
      <w:r w:rsidR="002F12F9">
        <w:rPr>
          <w:rFonts w:ascii="Arial" w:hAnsi="Arial" w:hint="cs"/>
          <w:noProof w:val="0"/>
          <w:rtl/>
        </w:rPr>
        <w:t xml:space="preserve">טענת מעשה בית דין, טוענת המשיבה </w:t>
      </w:r>
      <w:r>
        <w:rPr>
          <w:rFonts w:ascii="Arial" w:hAnsi="Arial" w:hint="cs"/>
          <w:noProof w:val="0"/>
          <w:rtl/>
        </w:rPr>
        <w:t>כי אין מדובר בהליכים זהים או עילת תביעה זהה</w:t>
      </w:r>
      <w:r w:rsidR="002F12F9">
        <w:rPr>
          <w:rFonts w:ascii="Arial" w:hAnsi="Arial" w:hint="cs"/>
          <w:noProof w:val="0"/>
          <w:rtl/>
        </w:rPr>
        <w:t xml:space="preserve">  ולכן גם אין שאלות עובדתיות ומשפטיות זהות בין התביעה בהליך הקודם לתביעה הנוכחית. לטענת המשיבה, </w:t>
      </w:r>
      <w:r>
        <w:rPr>
          <w:rFonts w:ascii="Arial" w:hAnsi="Arial" w:hint="cs"/>
          <w:noProof w:val="0"/>
          <w:rtl/>
        </w:rPr>
        <w:t xml:space="preserve"> בהליך הקודם </w:t>
      </w:r>
      <w:r w:rsidR="007D6423">
        <w:rPr>
          <w:rFonts w:ascii="Arial" w:hAnsi="Arial" w:hint="cs"/>
          <w:noProof w:val="0"/>
          <w:rtl/>
        </w:rPr>
        <w:t>הפלוגת</w:t>
      </w:r>
      <w:r w:rsidR="00F52706">
        <w:rPr>
          <w:rFonts w:ascii="Arial" w:hAnsi="Arial" w:hint="cs"/>
          <w:noProof w:val="0"/>
          <w:rtl/>
        </w:rPr>
        <w:t>א</w:t>
      </w:r>
      <w:r w:rsidR="007D6423">
        <w:rPr>
          <w:rFonts w:ascii="Arial" w:hAnsi="Arial" w:hint="cs"/>
          <w:noProof w:val="0"/>
          <w:rtl/>
        </w:rPr>
        <w:t>ות הותוו לפי הנטען בכתב התביעה ובכתב ההגנה, ובהליך זה מדובר בתביעה לסעד אחר</w:t>
      </w:r>
      <w:r w:rsidR="008B4ABE">
        <w:rPr>
          <w:rFonts w:ascii="Arial" w:hAnsi="Arial" w:hint="cs"/>
          <w:noProof w:val="0"/>
          <w:rtl/>
        </w:rPr>
        <w:t xml:space="preserve"> שהנו מתן פסק דין הצהרתי, לעניין</w:t>
      </w:r>
      <w:r w:rsidR="00AF030B">
        <w:rPr>
          <w:rFonts w:ascii="Arial" w:hAnsi="Arial" w:hint="cs"/>
          <w:noProof w:val="0"/>
          <w:rtl/>
        </w:rPr>
        <w:t xml:space="preserve"> זכותה לחזקה ושימוש בדירה וזאת מכוח טענה של מתן "רשות" אשר ניתנה לה על ידי שתי בנותיה הבגירות בדירה. </w:t>
      </w:r>
    </w:p>
    <w:p w:rsidR="005F51CA" w:rsidRDefault="005F51CA" w:rsidP="005F51CA">
      <w:pPr>
        <w:pStyle w:val="ad"/>
        <w:numPr>
          <w:ilvl w:val="0"/>
          <w:numId w:val="1"/>
        </w:numPr>
        <w:spacing w:after="240" w:line="360" w:lineRule="auto"/>
        <w:ind w:left="714" w:hanging="357"/>
        <w:contextualSpacing w:val="0"/>
        <w:jc w:val="both"/>
        <w:rPr>
          <w:rFonts w:ascii="Arial" w:hAnsi="Arial"/>
          <w:noProof w:val="0"/>
        </w:rPr>
      </w:pPr>
      <w:r>
        <w:rPr>
          <w:rFonts w:ascii="Arial" w:hAnsi="Arial" w:hint="cs"/>
          <w:noProof w:val="0"/>
          <w:rtl/>
        </w:rPr>
        <w:t xml:space="preserve">המשיבה טוענת כי לא הובאה ראיה שמפריכה את טענתה בדבר האישור שקיבלה מבנותיה להחזיק ולהשתמש במקרקעין, ומתן רשות להשתמש ולהחזיק במקרקעין </w:t>
      </w:r>
      <w:r w:rsidR="00F52706">
        <w:rPr>
          <w:rFonts w:ascii="Arial" w:hAnsi="Arial" w:hint="cs"/>
          <w:noProof w:val="0"/>
          <w:rtl/>
        </w:rPr>
        <w:t>ה</w:t>
      </w:r>
      <w:r>
        <w:rPr>
          <w:rFonts w:ascii="Arial" w:hAnsi="Arial" w:hint="cs"/>
          <w:noProof w:val="0"/>
          <w:rtl/>
        </w:rPr>
        <w:t xml:space="preserve">נה סוג של זכות במקרקעין. </w:t>
      </w:r>
    </w:p>
    <w:p w:rsidR="007D6423" w:rsidRDefault="00EE71F4" w:rsidP="00EE71F4">
      <w:pPr>
        <w:spacing w:after="240" w:line="360" w:lineRule="auto"/>
        <w:jc w:val="both"/>
        <w:rPr>
          <w:rFonts w:ascii="Arial" w:hAnsi="Arial"/>
          <w:b/>
          <w:bCs/>
          <w:noProof w:val="0"/>
          <w:u w:val="single"/>
          <w:rtl/>
        </w:rPr>
      </w:pPr>
      <w:r w:rsidRPr="00EE71F4">
        <w:rPr>
          <w:rFonts w:ascii="Arial" w:hAnsi="Arial" w:hint="cs"/>
          <w:b/>
          <w:bCs/>
          <w:noProof w:val="0"/>
          <w:u w:val="single"/>
          <w:rtl/>
        </w:rPr>
        <w:t>דיון והכרעה</w:t>
      </w:r>
    </w:p>
    <w:p w:rsidR="004B7138" w:rsidRDefault="004B7138" w:rsidP="00EE71F4">
      <w:pPr>
        <w:spacing w:after="240" w:line="360" w:lineRule="auto"/>
        <w:jc w:val="both"/>
        <w:rPr>
          <w:rFonts w:ascii="Arial" w:hAnsi="Arial"/>
          <w:b/>
          <w:bCs/>
          <w:noProof w:val="0"/>
          <w:u w:val="single"/>
          <w:rtl/>
        </w:rPr>
      </w:pPr>
      <w:r>
        <w:rPr>
          <w:rFonts w:ascii="Arial" w:hAnsi="Arial" w:hint="cs"/>
          <w:b/>
          <w:bCs/>
          <w:noProof w:val="0"/>
          <w:u w:val="single"/>
          <w:rtl/>
        </w:rPr>
        <w:t>הדין הנוהג והפסיקה הרווחת</w:t>
      </w:r>
    </w:p>
    <w:p w:rsidR="005325FC" w:rsidRDefault="00AF030B" w:rsidP="005325FC">
      <w:pPr>
        <w:pStyle w:val="ad"/>
        <w:numPr>
          <w:ilvl w:val="0"/>
          <w:numId w:val="1"/>
        </w:numPr>
        <w:spacing w:after="240" w:line="360" w:lineRule="auto"/>
        <w:jc w:val="both"/>
        <w:rPr>
          <w:rFonts w:ascii="Arial" w:hAnsi="Arial"/>
          <w:noProof w:val="0"/>
        </w:rPr>
      </w:pPr>
      <w:r w:rsidRPr="00AF030B">
        <w:rPr>
          <w:rFonts w:ascii="Arial" w:hAnsi="Arial" w:hint="cs"/>
          <w:noProof w:val="0"/>
          <w:rtl/>
        </w:rPr>
        <w:lastRenderedPageBreak/>
        <w:t>לאחר שעיינתי עיון רב בבקשה לסילוק על הסף, בתגובה לה וכן בהליך הקודם (</w:t>
      </w:r>
      <w:r w:rsidR="00F90718">
        <w:rPr>
          <w:rFonts w:ascii="Arial" w:hAnsi="Arial" w:hint="cs"/>
          <w:noProof w:val="0"/>
          <w:rtl/>
        </w:rPr>
        <w:t xml:space="preserve">תמ"ש 25813-04-19) </w:t>
      </w:r>
      <w:r w:rsidRPr="00AF030B">
        <w:rPr>
          <w:rFonts w:ascii="Arial" w:hAnsi="Arial" w:hint="cs"/>
          <w:noProof w:val="0"/>
          <w:rtl/>
        </w:rPr>
        <w:t xml:space="preserve">שהתנהל בפני מותב זה, </w:t>
      </w:r>
      <w:r w:rsidRPr="00073D88">
        <w:rPr>
          <w:rFonts w:ascii="Arial" w:hAnsi="Arial" w:hint="cs"/>
          <w:b/>
          <w:bCs/>
          <w:noProof w:val="0"/>
          <w:rtl/>
        </w:rPr>
        <w:t xml:space="preserve">מצאתי לקבל הבקשה ולהורות </w:t>
      </w:r>
      <w:r w:rsidR="00073D88" w:rsidRPr="00073D88">
        <w:rPr>
          <w:rFonts w:ascii="Arial" w:hAnsi="Arial" w:hint="cs"/>
          <w:b/>
          <w:bCs/>
          <w:noProof w:val="0"/>
          <w:rtl/>
        </w:rPr>
        <w:t xml:space="preserve">על דחיית התביעה </w:t>
      </w:r>
      <w:r w:rsidR="00073D88" w:rsidRPr="00073D88">
        <w:rPr>
          <w:rFonts w:ascii="Arial" w:hAnsi="Arial" w:hint="cs"/>
          <w:noProof w:val="0"/>
          <w:rtl/>
        </w:rPr>
        <w:t>מכוח תקנה 43 לתקנות סדר הדין האזרחי, התשע"ט-2018</w:t>
      </w:r>
      <w:r w:rsidR="005325FC">
        <w:rPr>
          <w:rFonts w:ascii="Arial" w:hAnsi="Arial" w:hint="cs"/>
          <w:noProof w:val="0"/>
          <w:rtl/>
        </w:rPr>
        <w:t xml:space="preserve"> (להלן: </w:t>
      </w:r>
      <w:r w:rsidR="005325FC" w:rsidRPr="005325FC">
        <w:rPr>
          <w:rFonts w:ascii="Arial" w:hAnsi="Arial" w:hint="cs"/>
          <w:b/>
          <w:bCs/>
          <w:noProof w:val="0"/>
          <w:rtl/>
        </w:rPr>
        <w:t>"</w:t>
      </w:r>
      <w:r w:rsidR="00E6175B">
        <w:rPr>
          <w:rFonts w:ascii="Arial" w:hAnsi="Arial" w:hint="cs"/>
          <w:b/>
          <w:bCs/>
          <w:noProof w:val="0"/>
          <w:rtl/>
        </w:rPr>
        <w:t>התקנות החדשות</w:t>
      </w:r>
      <w:r w:rsidR="005325FC" w:rsidRPr="005325FC">
        <w:rPr>
          <w:rFonts w:ascii="Arial" w:hAnsi="Arial" w:hint="cs"/>
          <w:b/>
          <w:bCs/>
          <w:noProof w:val="0"/>
          <w:rtl/>
        </w:rPr>
        <w:t>"</w:t>
      </w:r>
      <w:r w:rsidR="005325FC">
        <w:rPr>
          <w:rFonts w:ascii="Arial" w:hAnsi="Arial" w:hint="cs"/>
          <w:noProof w:val="0"/>
          <w:rtl/>
        </w:rPr>
        <w:t>)</w:t>
      </w:r>
      <w:r w:rsidR="00073D88" w:rsidRPr="00073D88">
        <w:rPr>
          <w:rFonts w:ascii="Arial" w:hAnsi="Arial" w:hint="cs"/>
          <w:noProof w:val="0"/>
          <w:rtl/>
        </w:rPr>
        <w:t>,</w:t>
      </w:r>
      <w:r w:rsidR="00BE1F17">
        <w:rPr>
          <w:rFonts w:ascii="Arial" w:hAnsi="Arial" w:hint="cs"/>
          <w:b/>
          <w:bCs/>
          <w:noProof w:val="0"/>
          <w:rtl/>
        </w:rPr>
        <w:t xml:space="preserve"> </w:t>
      </w:r>
      <w:r w:rsidRPr="00073D88">
        <w:rPr>
          <w:rFonts w:ascii="Arial" w:hAnsi="Arial" w:hint="cs"/>
          <w:noProof w:val="0"/>
          <w:rtl/>
        </w:rPr>
        <w:t>וזאת מהנימוקים שיפורטו להלן</w:t>
      </w:r>
      <w:r w:rsidR="00F90718" w:rsidRPr="00073D88">
        <w:rPr>
          <w:rFonts w:ascii="Arial" w:hAnsi="Arial" w:hint="cs"/>
          <w:noProof w:val="0"/>
          <w:rtl/>
        </w:rPr>
        <w:t>.</w:t>
      </w:r>
    </w:p>
    <w:p w:rsidR="005325FC" w:rsidRDefault="00E6175B" w:rsidP="0091734E">
      <w:pPr>
        <w:pStyle w:val="ad"/>
        <w:numPr>
          <w:ilvl w:val="0"/>
          <w:numId w:val="1"/>
        </w:numPr>
        <w:spacing w:after="240" w:line="360" w:lineRule="auto"/>
        <w:jc w:val="both"/>
        <w:rPr>
          <w:rFonts w:ascii="Arial" w:hAnsi="Arial"/>
          <w:noProof w:val="0"/>
        </w:rPr>
      </w:pPr>
      <w:r>
        <w:rPr>
          <w:rFonts w:ascii="Arial" w:hAnsi="Arial" w:hint="cs"/>
          <w:noProof w:val="0"/>
          <w:rtl/>
        </w:rPr>
        <w:t>סילוק כתבי טענות מוסדר בפרק ו' לתקנות החדשות, בסעיפים</w:t>
      </w:r>
      <w:r w:rsidR="005325FC">
        <w:rPr>
          <w:rFonts w:ascii="Arial" w:hAnsi="Arial" w:hint="cs"/>
          <w:noProof w:val="0"/>
          <w:rtl/>
        </w:rPr>
        <w:t xml:space="preserve"> 41-45, כאשר התקנה הרלוונטית לעניינו הנה תקנה 43, וזו לשונה:</w:t>
      </w:r>
    </w:p>
    <w:p w:rsidR="004B7138" w:rsidRPr="0091734E" w:rsidRDefault="004B7138" w:rsidP="004B7138">
      <w:pPr>
        <w:pStyle w:val="ad"/>
        <w:spacing w:after="240" w:line="360" w:lineRule="auto"/>
        <w:jc w:val="both"/>
        <w:rPr>
          <w:rFonts w:ascii="Arial" w:hAnsi="Arial"/>
          <w:noProof w:val="0"/>
        </w:rPr>
      </w:pPr>
    </w:p>
    <w:p w:rsidR="00C46354" w:rsidRPr="00C46354" w:rsidRDefault="005325FC" w:rsidP="004B7138">
      <w:pPr>
        <w:pStyle w:val="ad"/>
        <w:spacing w:after="240" w:line="360" w:lineRule="auto"/>
        <w:ind w:left="1417" w:right="284"/>
        <w:jc w:val="both"/>
        <w:rPr>
          <w:rFonts w:ascii="Arial" w:hAnsi="Arial"/>
          <w:b/>
          <w:bCs/>
          <w:i/>
          <w:iCs/>
          <w:noProof w:val="0"/>
          <w:rtl/>
        </w:rPr>
      </w:pPr>
      <w:r w:rsidRPr="00C46354">
        <w:rPr>
          <w:rFonts w:ascii="Arial" w:hAnsi="Arial" w:hint="cs"/>
          <w:b/>
          <w:bCs/>
          <w:i/>
          <w:iCs/>
          <w:noProof w:val="0"/>
          <w:rtl/>
        </w:rPr>
        <w:t xml:space="preserve">" 43. </w:t>
      </w:r>
      <w:r w:rsidR="00C46354" w:rsidRPr="00C46354">
        <w:rPr>
          <w:rFonts w:ascii="Arial" w:hAnsi="Arial" w:hint="cs"/>
          <w:b/>
          <w:bCs/>
          <w:i/>
          <w:iCs/>
          <w:noProof w:val="0"/>
          <w:rtl/>
        </w:rPr>
        <w:t>דחיית תביעה במקרים מיוחדים</w:t>
      </w:r>
    </w:p>
    <w:p w:rsidR="00694556" w:rsidRDefault="005325FC" w:rsidP="004B7138">
      <w:pPr>
        <w:pStyle w:val="ad"/>
        <w:spacing w:after="240" w:line="360" w:lineRule="auto"/>
        <w:ind w:left="1417" w:right="284"/>
        <w:jc w:val="both"/>
        <w:rPr>
          <w:rFonts w:ascii="Arial" w:hAnsi="Arial"/>
          <w:b/>
          <w:bCs/>
          <w:i/>
          <w:iCs/>
          <w:noProof w:val="0"/>
          <w:rtl/>
        </w:rPr>
      </w:pPr>
      <w:r w:rsidRPr="00C46354">
        <w:rPr>
          <w:rFonts w:ascii="Arial" w:hAnsi="Arial" w:hint="cs"/>
          <w:b/>
          <w:bCs/>
          <w:i/>
          <w:iCs/>
          <w:noProof w:val="0"/>
          <w:rtl/>
        </w:rPr>
        <w:t xml:space="preserve">בית המשפט רשאי לדחות תביעה בכל עת בשל קיומו של </w:t>
      </w:r>
      <w:r w:rsidRPr="00705FDD">
        <w:rPr>
          <w:rFonts w:ascii="Arial" w:hAnsi="Arial" w:hint="cs"/>
          <w:b/>
          <w:bCs/>
          <w:i/>
          <w:iCs/>
          <w:noProof w:val="0"/>
          <w:u w:val="single"/>
          <w:rtl/>
        </w:rPr>
        <w:t>מעשה בית דין</w:t>
      </w:r>
      <w:r w:rsidRPr="00C46354">
        <w:rPr>
          <w:rFonts w:ascii="Arial" w:hAnsi="Arial" w:hint="cs"/>
          <w:b/>
          <w:bCs/>
          <w:i/>
          <w:iCs/>
          <w:noProof w:val="0"/>
          <w:rtl/>
        </w:rPr>
        <w:t>, הת</w:t>
      </w:r>
      <w:r w:rsidR="00C46354" w:rsidRPr="00C46354">
        <w:rPr>
          <w:rFonts w:ascii="Arial" w:hAnsi="Arial" w:hint="cs"/>
          <w:b/>
          <w:bCs/>
          <w:i/>
          <w:iCs/>
          <w:noProof w:val="0"/>
          <w:rtl/>
        </w:rPr>
        <w:t>יישנות או מכל נימוק אחר שלפיו הוא סבור כי ראוי ונכון לדחות את התביעה".</w:t>
      </w:r>
    </w:p>
    <w:p w:rsidR="004B7138" w:rsidRDefault="004B7138" w:rsidP="004B7138">
      <w:pPr>
        <w:pStyle w:val="ad"/>
        <w:spacing w:after="240" w:line="360" w:lineRule="auto"/>
        <w:ind w:left="1417" w:right="284"/>
        <w:jc w:val="both"/>
        <w:rPr>
          <w:rFonts w:ascii="Arial" w:hAnsi="Arial"/>
          <w:b/>
          <w:bCs/>
          <w:i/>
          <w:iCs/>
          <w:noProof w:val="0"/>
          <w:rtl/>
        </w:rPr>
      </w:pPr>
    </w:p>
    <w:p w:rsidR="00602C12" w:rsidRDefault="00602C12" w:rsidP="00602C12">
      <w:pPr>
        <w:pStyle w:val="ad"/>
        <w:numPr>
          <w:ilvl w:val="0"/>
          <w:numId w:val="1"/>
        </w:numPr>
        <w:spacing w:after="240" w:line="360" w:lineRule="auto"/>
        <w:jc w:val="both"/>
        <w:rPr>
          <w:rFonts w:ascii="Arial" w:hAnsi="Arial"/>
          <w:noProof w:val="0"/>
        </w:rPr>
      </w:pPr>
      <w:r>
        <w:rPr>
          <w:rFonts w:ascii="Arial" w:hAnsi="Arial" w:hint="cs"/>
          <w:noProof w:val="0"/>
          <w:rtl/>
        </w:rPr>
        <w:t>ב"כ המשיבה ציטט בבקשתו, תחת פרק "המסגרת הנורמטיבית" את הפסיקה הרווחת והנוגעת לסילוק תביעות על הסף.</w:t>
      </w:r>
      <w:r w:rsidR="00E47740">
        <w:rPr>
          <w:rFonts w:ascii="Arial" w:hAnsi="Arial" w:hint="cs"/>
          <w:noProof w:val="0"/>
          <w:rtl/>
        </w:rPr>
        <w:t xml:space="preserve"> </w:t>
      </w:r>
    </w:p>
    <w:p w:rsidR="00602C12" w:rsidRDefault="00E47740" w:rsidP="00602C12">
      <w:pPr>
        <w:pStyle w:val="ad"/>
        <w:numPr>
          <w:ilvl w:val="0"/>
          <w:numId w:val="1"/>
        </w:numPr>
        <w:spacing w:after="240" w:line="360" w:lineRule="auto"/>
        <w:jc w:val="both"/>
        <w:rPr>
          <w:rFonts w:ascii="Arial" w:hAnsi="Arial"/>
          <w:noProof w:val="0"/>
        </w:rPr>
      </w:pPr>
      <w:r>
        <w:rPr>
          <w:rFonts w:ascii="Arial" w:hAnsi="Arial" w:hint="cs"/>
          <w:noProof w:val="0"/>
          <w:rtl/>
        </w:rPr>
        <w:t xml:space="preserve">ואכן, </w:t>
      </w:r>
      <w:r w:rsidR="00602C12">
        <w:rPr>
          <w:rFonts w:ascii="Arial" w:hAnsi="Arial" w:hint="cs"/>
          <w:noProof w:val="0"/>
          <w:rtl/>
        </w:rPr>
        <w:t>שימוש באמצעי סילוק תביעות על הסף (בין אם באמצעות מחיקתן ובין אם באמצעות דחייתן) צריך להי</w:t>
      </w:r>
      <w:r>
        <w:rPr>
          <w:rFonts w:ascii="Arial" w:hAnsi="Arial" w:hint="cs"/>
          <w:noProof w:val="0"/>
          <w:rtl/>
        </w:rPr>
        <w:t>עשות במשורה ובמקרים חריגים בלבד ואני סומכת החלטתי זו על כלל הפסיקה שהובאה בתגובת המשיבה.</w:t>
      </w:r>
    </w:p>
    <w:p w:rsidR="00E47740" w:rsidRPr="00BB1267" w:rsidRDefault="00E47740" w:rsidP="00E47740">
      <w:pPr>
        <w:pStyle w:val="ad"/>
        <w:numPr>
          <w:ilvl w:val="0"/>
          <w:numId w:val="1"/>
        </w:numPr>
        <w:spacing w:after="240" w:line="360" w:lineRule="auto"/>
        <w:jc w:val="both"/>
        <w:rPr>
          <w:rFonts w:ascii="Arial" w:hAnsi="Arial"/>
          <w:b/>
          <w:bCs/>
          <w:noProof w:val="0"/>
          <w:u w:val="single"/>
        </w:rPr>
      </w:pPr>
      <w:r>
        <w:rPr>
          <w:rFonts w:ascii="Arial" w:hAnsi="Arial" w:hint="cs"/>
          <w:noProof w:val="0"/>
          <w:rtl/>
        </w:rPr>
        <w:t xml:space="preserve">ודוק: אין בהחלטתי זו לפגוע ולו במעט במעמד זכות הגישה לערכאות שהנה זכות יסוד ראשונה במעלה, ומסכימה אני כי </w:t>
      </w:r>
      <w:r w:rsidRPr="00BB1267">
        <w:rPr>
          <w:rFonts w:ascii="Arial" w:hAnsi="Arial" w:hint="cs"/>
          <w:b/>
          <w:bCs/>
          <w:noProof w:val="0"/>
          <w:u w:val="single"/>
          <w:rtl/>
        </w:rPr>
        <w:t xml:space="preserve">שימוש באמצעי סילוק תביעות על הסף ייעשה רק במקרים בהם בית המשפט אכן שוכנע מעבר לכל ספק, כי לא קיימת אפשרות ולו קלושה שעל פי העובדות המבססות עילת התביעה, המשיבה תזכה בסעד אליו עתרה. </w:t>
      </w:r>
    </w:p>
    <w:p w:rsidR="00E47740" w:rsidRDefault="00C5085C" w:rsidP="00602C12">
      <w:pPr>
        <w:pStyle w:val="ad"/>
        <w:numPr>
          <w:ilvl w:val="0"/>
          <w:numId w:val="1"/>
        </w:numPr>
        <w:spacing w:after="240" w:line="360" w:lineRule="auto"/>
        <w:jc w:val="both"/>
        <w:rPr>
          <w:rFonts w:ascii="Arial" w:hAnsi="Arial"/>
          <w:noProof w:val="0"/>
        </w:rPr>
      </w:pPr>
      <w:r w:rsidRPr="00BB1267">
        <w:rPr>
          <w:rFonts w:ascii="Arial" w:hAnsi="Arial" w:hint="cs"/>
          <w:b/>
          <w:bCs/>
          <w:noProof w:val="0"/>
          <w:u w:val="single"/>
          <w:rtl/>
        </w:rPr>
        <w:lastRenderedPageBreak/>
        <w:t>המקרה דנן, עונה על הקריטריונים של מקרה חריג, המצדיק שימוש באמצעי קיצוני זה</w:t>
      </w:r>
      <w:r>
        <w:rPr>
          <w:rFonts w:ascii="Arial" w:hAnsi="Arial" w:hint="cs"/>
          <w:noProof w:val="0"/>
          <w:rtl/>
        </w:rPr>
        <w:t xml:space="preserve">, ואסביר. </w:t>
      </w:r>
    </w:p>
    <w:p w:rsidR="00705FDD" w:rsidRPr="00C5085C" w:rsidRDefault="004B7138" w:rsidP="00C5085C">
      <w:pPr>
        <w:spacing w:after="240" w:line="360" w:lineRule="auto"/>
        <w:jc w:val="both"/>
        <w:rPr>
          <w:rFonts w:ascii="Arial" w:hAnsi="Arial"/>
          <w:b/>
          <w:bCs/>
          <w:noProof w:val="0"/>
          <w:u w:val="single"/>
          <w:rtl/>
        </w:rPr>
      </w:pPr>
      <w:r w:rsidRPr="004B7138">
        <w:rPr>
          <w:rFonts w:ascii="Arial" w:hAnsi="Arial" w:hint="cs"/>
          <w:b/>
          <w:bCs/>
          <w:noProof w:val="0"/>
          <w:u w:val="single"/>
          <w:rtl/>
        </w:rPr>
        <w:t>יישום הדין על המקרה דנן</w:t>
      </w:r>
    </w:p>
    <w:p w:rsidR="007D2DB7" w:rsidRPr="00C5085C" w:rsidRDefault="007D2DB7" w:rsidP="00BB1267">
      <w:pPr>
        <w:pStyle w:val="ad"/>
        <w:numPr>
          <w:ilvl w:val="0"/>
          <w:numId w:val="1"/>
        </w:numPr>
        <w:spacing w:after="240" w:line="360" w:lineRule="auto"/>
        <w:rPr>
          <w:rFonts w:ascii="Arial" w:hAnsi="Arial"/>
          <w:noProof w:val="0"/>
          <w:u w:val="single"/>
        </w:rPr>
      </w:pPr>
      <w:r>
        <w:rPr>
          <w:rFonts w:ascii="Arial" w:hAnsi="Arial" w:hint="cs"/>
          <w:noProof w:val="0"/>
          <w:rtl/>
        </w:rPr>
        <w:t>כאמור לעיל, בין הצדדים התנהל הליך קודם</w:t>
      </w:r>
      <w:r w:rsidR="00705FDD">
        <w:rPr>
          <w:rFonts w:ascii="Arial" w:hAnsi="Arial" w:hint="cs"/>
          <w:noProof w:val="0"/>
          <w:rtl/>
        </w:rPr>
        <w:t xml:space="preserve"> </w:t>
      </w:r>
      <w:r w:rsidR="00705FDD" w:rsidRPr="004B7138">
        <w:rPr>
          <w:rFonts w:ascii="Arial" w:hAnsi="Arial" w:hint="cs"/>
          <w:b/>
          <w:bCs/>
          <w:noProof w:val="0"/>
          <w:u w:val="single"/>
          <w:rtl/>
        </w:rPr>
        <w:t>בעניין זהה</w:t>
      </w:r>
      <w:r>
        <w:rPr>
          <w:rFonts w:ascii="Arial" w:hAnsi="Arial" w:hint="cs"/>
          <w:noProof w:val="0"/>
          <w:rtl/>
        </w:rPr>
        <w:t xml:space="preserve"> בפני מותב זה (תמ"ש 25813-04-19</w:t>
      </w:r>
      <w:r w:rsidR="008A1882">
        <w:rPr>
          <w:rFonts w:ascii="Arial" w:hAnsi="Arial" w:hint="cs"/>
          <w:noProof w:val="0"/>
          <w:rtl/>
        </w:rPr>
        <w:t xml:space="preserve">) אשר הסתיים </w:t>
      </w:r>
      <w:r w:rsidR="008A1882" w:rsidRPr="008A1882">
        <w:rPr>
          <w:rFonts w:ascii="Arial" w:hAnsi="Arial" w:hint="cs"/>
          <w:noProof w:val="0"/>
          <w:rtl/>
        </w:rPr>
        <w:t>במתן פסק דין ביום 5.7.</w:t>
      </w:r>
      <w:r w:rsidR="008A1882">
        <w:rPr>
          <w:rFonts w:ascii="Arial" w:hAnsi="Arial" w:hint="cs"/>
          <w:noProof w:val="0"/>
          <w:rtl/>
        </w:rPr>
        <w:t>2022.</w:t>
      </w:r>
      <w:r w:rsidR="008A1882" w:rsidRPr="004B7138">
        <w:rPr>
          <w:rFonts w:ascii="Arial" w:hAnsi="Arial" w:hint="cs"/>
          <w:noProof w:val="0"/>
          <w:rtl/>
        </w:rPr>
        <w:t xml:space="preserve"> </w:t>
      </w:r>
      <w:r w:rsidR="008A1882" w:rsidRPr="00C5085C">
        <w:rPr>
          <w:rFonts w:ascii="Arial" w:hAnsi="Arial" w:hint="cs"/>
          <w:noProof w:val="0"/>
          <w:u w:val="single"/>
          <w:rtl/>
        </w:rPr>
        <w:t>המדובר בהליך אשר התנהל במשך 3.5 שנים</w:t>
      </w:r>
      <w:r w:rsidR="004B7138" w:rsidRPr="00C5085C">
        <w:rPr>
          <w:rFonts w:ascii="Arial" w:hAnsi="Arial" w:hint="cs"/>
          <w:noProof w:val="0"/>
          <w:u w:val="single"/>
          <w:rtl/>
        </w:rPr>
        <w:t>(!)</w:t>
      </w:r>
      <w:r w:rsidR="008A1882" w:rsidRPr="00C5085C">
        <w:rPr>
          <w:rFonts w:ascii="Arial" w:hAnsi="Arial" w:hint="cs"/>
          <w:noProof w:val="0"/>
          <w:u w:val="single"/>
          <w:rtl/>
        </w:rPr>
        <w:t>, התקיימו בו 5 דיונים</w:t>
      </w:r>
      <w:r w:rsidR="00705FDD" w:rsidRPr="00C5085C">
        <w:rPr>
          <w:rFonts w:ascii="Arial" w:hAnsi="Arial" w:hint="cs"/>
          <w:noProof w:val="0"/>
          <w:u w:val="single"/>
          <w:rtl/>
        </w:rPr>
        <w:t xml:space="preserve">, ביניהם דיון הוכחות </w:t>
      </w:r>
      <w:r w:rsidR="008A1882" w:rsidRPr="00C5085C">
        <w:rPr>
          <w:rFonts w:ascii="Arial" w:hAnsi="Arial" w:hint="cs"/>
          <w:noProof w:val="0"/>
          <w:u w:val="single"/>
          <w:rtl/>
        </w:rPr>
        <w:t xml:space="preserve">ושמיעת סיכומים בעל פה. </w:t>
      </w:r>
      <w:r w:rsidR="00705FDD" w:rsidRPr="00C5085C">
        <w:rPr>
          <w:rFonts w:ascii="Arial" w:hAnsi="Arial" w:hint="cs"/>
          <w:noProof w:val="0"/>
          <w:u w:val="single"/>
          <w:rtl/>
        </w:rPr>
        <w:t>למשיבה ניתן יומה בבית המשפט ו</w:t>
      </w:r>
      <w:r w:rsidR="00BB1267">
        <w:rPr>
          <w:rFonts w:ascii="Arial" w:hAnsi="Arial" w:hint="cs"/>
          <w:noProof w:val="0"/>
          <w:u w:val="single"/>
          <w:rtl/>
        </w:rPr>
        <w:t>בירור ההליך והטענות מוצו</w:t>
      </w:r>
      <w:r w:rsidR="00705FDD" w:rsidRPr="00C5085C">
        <w:rPr>
          <w:rFonts w:ascii="Arial" w:hAnsi="Arial" w:hint="cs"/>
          <w:noProof w:val="0"/>
          <w:u w:val="single"/>
          <w:rtl/>
        </w:rPr>
        <w:t>.</w:t>
      </w:r>
    </w:p>
    <w:p w:rsidR="00705FDD" w:rsidRDefault="00705FDD" w:rsidP="00BB1267">
      <w:pPr>
        <w:pStyle w:val="ad"/>
        <w:numPr>
          <w:ilvl w:val="0"/>
          <w:numId w:val="1"/>
        </w:numPr>
        <w:spacing w:after="240" w:line="360" w:lineRule="auto"/>
        <w:jc w:val="both"/>
        <w:rPr>
          <w:rFonts w:ascii="Arial" w:hAnsi="Arial"/>
          <w:noProof w:val="0"/>
        </w:rPr>
      </w:pPr>
      <w:r>
        <w:rPr>
          <w:rFonts w:ascii="Arial" w:hAnsi="Arial" w:hint="cs"/>
          <w:noProof w:val="0"/>
          <w:rtl/>
        </w:rPr>
        <w:t xml:space="preserve">לאחר </w:t>
      </w:r>
      <w:r w:rsidR="00BB1267">
        <w:rPr>
          <w:rFonts w:ascii="Arial" w:hAnsi="Arial" w:hint="cs"/>
          <w:noProof w:val="0"/>
          <w:rtl/>
        </w:rPr>
        <w:t>מתן</w:t>
      </w:r>
      <w:r w:rsidR="00C5085C">
        <w:rPr>
          <w:rFonts w:ascii="Arial" w:hAnsi="Arial" w:hint="cs"/>
          <w:noProof w:val="0"/>
          <w:rtl/>
        </w:rPr>
        <w:t xml:space="preserve"> פסק הדין, לא הוגש ערעור מטעם מי מהצדדים ועל כן</w:t>
      </w:r>
      <w:r>
        <w:rPr>
          <w:rFonts w:ascii="Arial" w:hAnsi="Arial" w:hint="cs"/>
          <w:noProof w:val="0"/>
          <w:rtl/>
        </w:rPr>
        <w:t xml:space="preserve"> פסק הדין הפך לחלוט וסופי.</w:t>
      </w:r>
    </w:p>
    <w:p w:rsidR="006C4584" w:rsidRDefault="00705FDD" w:rsidP="006C4584">
      <w:pPr>
        <w:pStyle w:val="ad"/>
        <w:numPr>
          <w:ilvl w:val="0"/>
          <w:numId w:val="1"/>
        </w:numPr>
        <w:spacing w:after="240" w:line="360" w:lineRule="auto"/>
        <w:jc w:val="both"/>
        <w:rPr>
          <w:rFonts w:ascii="Arial" w:hAnsi="Arial"/>
          <w:noProof w:val="0"/>
        </w:rPr>
      </w:pPr>
      <w:r w:rsidRPr="00752981">
        <w:rPr>
          <w:rFonts w:ascii="Arial" w:hAnsi="Arial" w:hint="cs"/>
          <w:noProof w:val="0"/>
          <w:rtl/>
        </w:rPr>
        <w:t xml:space="preserve">משכך, נכונה טענת ב"כ המבקש לפיה </w:t>
      </w:r>
      <w:r w:rsidR="00752981">
        <w:rPr>
          <w:rFonts w:ascii="Arial" w:hAnsi="Arial" w:hint="cs"/>
          <w:noProof w:val="0"/>
          <w:rtl/>
        </w:rPr>
        <w:t>פסק הדין שניתן בעניין הצדדים יצר</w:t>
      </w:r>
      <w:r w:rsidRPr="00752981">
        <w:rPr>
          <w:rFonts w:ascii="Arial" w:hAnsi="Arial" w:hint="cs"/>
          <w:noProof w:val="0"/>
          <w:rtl/>
        </w:rPr>
        <w:t xml:space="preserve"> </w:t>
      </w:r>
      <w:r w:rsidRPr="00752981">
        <w:rPr>
          <w:rFonts w:ascii="Arial" w:hAnsi="Arial" w:hint="cs"/>
          <w:b/>
          <w:bCs/>
          <w:noProof w:val="0"/>
          <w:u w:val="single"/>
          <w:rtl/>
        </w:rPr>
        <w:t xml:space="preserve">מעשה בית דין </w:t>
      </w:r>
      <w:r w:rsidR="00752981">
        <w:rPr>
          <w:rFonts w:ascii="Arial" w:hAnsi="Arial" w:hint="cs"/>
          <w:b/>
          <w:bCs/>
          <w:noProof w:val="0"/>
          <w:u w:val="single"/>
          <w:rtl/>
        </w:rPr>
        <w:t>מסוג</w:t>
      </w:r>
      <w:r w:rsidR="00752981" w:rsidRPr="00752981">
        <w:rPr>
          <w:rFonts w:ascii="Arial" w:hAnsi="Arial" w:hint="cs"/>
          <w:b/>
          <w:bCs/>
          <w:noProof w:val="0"/>
          <w:u w:val="single"/>
          <w:rtl/>
        </w:rPr>
        <w:t xml:space="preserve"> השתק עילה</w:t>
      </w:r>
      <w:r w:rsidR="00752981">
        <w:rPr>
          <w:rFonts w:ascii="Arial" w:hAnsi="Arial" w:hint="cs"/>
          <w:noProof w:val="0"/>
          <w:rtl/>
        </w:rPr>
        <w:t xml:space="preserve"> (על כן </w:t>
      </w:r>
      <w:r w:rsidRPr="00752981">
        <w:rPr>
          <w:rFonts w:ascii="Arial" w:hAnsi="Arial" w:hint="cs"/>
          <w:noProof w:val="0"/>
          <w:rtl/>
        </w:rPr>
        <w:t xml:space="preserve">הדיון </w:t>
      </w:r>
      <w:r w:rsidR="00752981">
        <w:rPr>
          <w:rFonts w:ascii="Arial" w:hAnsi="Arial" w:hint="cs"/>
          <w:noProof w:val="0"/>
          <w:rtl/>
        </w:rPr>
        <w:t xml:space="preserve">בנוגע להשתק פלוגתא המובא </w:t>
      </w:r>
      <w:r w:rsidRPr="00752981">
        <w:rPr>
          <w:rFonts w:ascii="Arial" w:hAnsi="Arial" w:hint="cs"/>
          <w:noProof w:val="0"/>
          <w:rtl/>
        </w:rPr>
        <w:t xml:space="preserve">בתגובת המשיבה </w:t>
      </w:r>
      <w:r w:rsidR="00752981" w:rsidRPr="00752981">
        <w:rPr>
          <w:rFonts w:ascii="Arial" w:hAnsi="Arial" w:hint="cs"/>
          <w:noProof w:val="0"/>
          <w:rtl/>
        </w:rPr>
        <w:t>כלל לא רלוונטי לענייננו</w:t>
      </w:r>
      <w:r w:rsidR="00752981">
        <w:rPr>
          <w:rFonts w:ascii="Arial" w:hAnsi="Arial" w:hint="cs"/>
          <w:noProof w:val="0"/>
          <w:rtl/>
        </w:rPr>
        <w:t>)</w:t>
      </w:r>
      <w:r w:rsidR="00752981" w:rsidRPr="00752981">
        <w:rPr>
          <w:rFonts w:ascii="Arial" w:hAnsi="Arial" w:hint="cs"/>
          <w:noProof w:val="0"/>
          <w:rtl/>
        </w:rPr>
        <w:t xml:space="preserve">. </w:t>
      </w:r>
    </w:p>
    <w:p w:rsidR="005B4168" w:rsidRDefault="005B4168" w:rsidP="006C4584">
      <w:pPr>
        <w:pStyle w:val="ad"/>
        <w:numPr>
          <w:ilvl w:val="0"/>
          <w:numId w:val="1"/>
        </w:numPr>
        <w:spacing w:after="240" w:line="360" w:lineRule="auto"/>
        <w:jc w:val="both"/>
        <w:rPr>
          <w:rFonts w:ascii="Arial" w:hAnsi="Arial"/>
          <w:noProof w:val="0"/>
        </w:rPr>
      </w:pPr>
      <w:r>
        <w:rPr>
          <w:rFonts w:ascii="Arial" w:hAnsi="Arial" w:hint="cs"/>
          <w:noProof w:val="0"/>
          <w:rtl/>
        </w:rPr>
        <w:t>וראה לעניין זה את</w:t>
      </w:r>
      <w:r w:rsidR="006C4584">
        <w:rPr>
          <w:rFonts w:ascii="Arial" w:hAnsi="Arial" w:hint="cs"/>
          <w:noProof w:val="0"/>
          <w:rtl/>
        </w:rPr>
        <w:t xml:space="preserve"> דברי</w:t>
      </w:r>
      <w:r>
        <w:rPr>
          <w:rFonts w:ascii="Arial" w:hAnsi="Arial" w:hint="cs"/>
          <w:noProof w:val="0"/>
          <w:rtl/>
        </w:rPr>
        <w:t xml:space="preserve"> בית המשפט (כב' השו' גרוסקופף) בע"א 4576/17 </w:t>
      </w:r>
      <w:r>
        <w:rPr>
          <w:color w:val="000000"/>
          <w:sz w:val="22"/>
          <w:szCs w:val="22"/>
        </w:rPr>
        <w:t>Air Via OOD</w:t>
      </w:r>
      <w:r>
        <w:rPr>
          <w:rFonts w:hint="cs"/>
          <w:color w:val="000000"/>
          <w:sz w:val="22"/>
          <w:szCs w:val="22"/>
          <w:rtl/>
        </w:rPr>
        <w:t xml:space="preserve"> נ' השטיח המעופף בע"מ (ניתן ביום 18.12.18):</w:t>
      </w:r>
    </w:p>
    <w:p w:rsidR="005B4168" w:rsidRDefault="005B4168" w:rsidP="005B4168">
      <w:pPr>
        <w:pStyle w:val="ad"/>
        <w:spacing w:after="240" w:line="360" w:lineRule="auto"/>
        <w:jc w:val="both"/>
        <w:rPr>
          <w:rFonts w:ascii="Arial" w:hAnsi="Arial"/>
          <w:noProof w:val="0"/>
        </w:rPr>
      </w:pPr>
    </w:p>
    <w:p w:rsidR="006C4584" w:rsidRPr="005B4168" w:rsidRDefault="005B4168" w:rsidP="005B4168">
      <w:pPr>
        <w:pStyle w:val="ad"/>
        <w:spacing w:after="240" w:line="360" w:lineRule="auto"/>
        <w:ind w:left="1417" w:right="284"/>
        <w:jc w:val="both"/>
        <w:rPr>
          <w:rFonts w:ascii="Arial" w:hAnsi="Arial"/>
          <w:b/>
          <w:bCs/>
          <w:i/>
          <w:iCs/>
          <w:noProof w:val="0"/>
          <w:rtl/>
        </w:rPr>
      </w:pPr>
      <w:r w:rsidRPr="005B4168">
        <w:rPr>
          <w:rFonts w:ascii="Arial" w:hAnsi="Arial" w:hint="cs"/>
          <w:b/>
          <w:bCs/>
          <w:i/>
          <w:iCs/>
          <w:noProof w:val="0"/>
          <w:rtl/>
        </w:rPr>
        <w:t>"</w:t>
      </w:r>
      <w:r w:rsidR="006C4584" w:rsidRPr="005B4168">
        <w:rPr>
          <w:rFonts w:ascii="Arial" w:hAnsi="Arial"/>
          <w:b/>
          <w:bCs/>
          <w:i/>
          <w:iCs/>
          <w:noProof w:val="0"/>
          <w:rtl/>
        </w:rPr>
        <w:t xml:space="preserve">ביסוד דוקטרינת השתק העילה עומדת התפיסה של </w:t>
      </w:r>
      <w:r w:rsidR="006C4584" w:rsidRPr="005B4168">
        <w:rPr>
          <w:rFonts w:ascii="Arial" w:hAnsi="Arial"/>
          <w:b/>
          <w:bCs/>
          <w:i/>
          <w:iCs/>
          <w:noProof w:val="0"/>
          <w:u w:val="single"/>
          <w:rtl/>
        </w:rPr>
        <w:t>מיצוי העילה</w:t>
      </w:r>
      <w:r w:rsidR="006C4584" w:rsidRPr="005B4168">
        <w:rPr>
          <w:rFonts w:ascii="Arial" w:hAnsi="Arial"/>
          <w:b/>
          <w:bCs/>
          <w:i/>
          <w:iCs/>
          <w:noProof w:val="0"/>
          <w:rtl/>
        </w:rPr>
        <w:t>: צד שהיה לו את יומו בבית המשפט ביחס לעילת התביעה, וזאת בין אם מימש אותה הלכה למעשה ובין אם היה צריך לממשה, אינו יכול לנהל הליך משפטי נוסף באותה עילה (ע"א 246/66 קלוז'נר נ' שמעוני, פ"ד כב(2) 561, 593 (1968) (להלן: "עניין קלוז'נר"); ע"א 718/75 עמרם נ' סקורניק, פ"ד לא(1) 29, 35 (1976); ע"א 735/07 צמרות חברה לבניין נ' בנק מזרחי-טפחות, פסקה 24 (5.10.2011); נינה זלצמן מעשה-בית-דין בהליך אזרחי 30-29 (1991) (להלן: "זלצמן, מעשה בית דין")).</w:t>
      </w:r>
    </w:p>
    <w:p w:rsidR="006F0748" w:rsidRDefault="005B4168" w:rsidP="006F0748">
      <w:pPr>
        <w:pStyle w:val="ad"/>
        <w:numPr>
          <w:ilvl w:val="0"/>
          <w:numId w:val="1"/>
        </w:numPr>
        <w:spacing w:after="240" w:line="360" w:lineRule="auto"/>
        <w:jc w:val="both"/>
        <w:rPr>
          <w:rFonts w:ascii="Arial" w:hAnsi="Arial"/>
          <w:noProof w:val="0"/>
        </w:rPr>
      </w:pPr>
      <w:r>
        <w:rPr>
          <w:rFonts w:ascii="Arial" w:hAnsi="Arial" w:hint="cs"/>
          <w:noProof w:val="0"/>
          <w:rtl/>
        </w:rPr>
        <w:lastRenderedPageBreak/>
        <w:t>בנסיבות המקרה הקונקרטי, המשיבה קיבלה את יומה בבית המשפט ביחס לעילת התביעה וניתן לומר בפה מלא כי</w:t>
      </w:r>
      <w:r w:rsidR="006F0748">
        <w:rPr>
          <w:rFonts w:ascii="Arial" w:hAnsi="Arial" w:hint="cs"/>
          <w:noProof w:val="0"/>
          <w:rtl/>
        </w:rPr>
        <w:t xml:space="preserve"> כל טענותיה נטענו, נשמעו ומוצו. </w:t>
      </w:r>
    </w:p>
    <w:p w:rsidR="005B4168" w:rsidRDefault="006F0748" w:rsidP="006F0748">
      <w:pPr>
        <w:pStyle w:val="ad"/>
        <w:numPr>
          <w:ilvl w:val="0"/>
          <w:numId w:val="1"/>
        </w:numPr>
        <w:spacing w:after="240" w:line="360" w:lineRule="auto"/>
        <w:jc w:val="both"/>
        <w:rPr>
          <w:rFonts w:ascii="Arial" w:hAnsi="Arial"/>
          <w:noProof w:val="0"/>
        </w:rPr>
      </w:pPr>
      <w:r>
        <w:rPr>
          <w:rFonts w:ascii="Arial" w:hAnsi="Arial" w:hint="cs"/>
          <w:noProof w:val="0"/>
          <w:rtl/>
        </w:rPr>
        <w:t>טענותיה "החדשות" לכאורה, עליהן סומכת המשיבה את כתב התביעה דנן,</w:t>
      </w:r>
      <w:r w:rsidRPr="006F0748">
        <w:rPr>
          <w:rFonts w:ascii="Arial" w:hAnsi="Arial" w:hint="cs"/>
          <w:noProof w:val="0"/>
          <w:rtl/>
        </w:rPr>
        <w:t xml:space="preserve"> לפיהן</w:t>
      </w:r>
      <w:r>
        <w:rPr>
          <w:rFonts w:ascii="Arial" w:hAnsi="Arial" w:hint="cs"/>
          <w:noProof w:val="0"/>
          <w:rtl/>
        </w:rPr>
        <w:t xml:space="preserve"> לאחר פסק הדין בהליך הקודם, היא</w:t>
      </w:r>
      <w:r w:rsidR="002D531B">
        <w:rPr>
          <w:rFonts w:ascii="Arial" w:hAnsi="Arial" w:hint="cs"/>
          <w:noProof w:val="0"/>
          <w:rtl/>
        </w:rPr>
        <w:t xml:space="preserve"> קיבלה "מתן רשות" להחזקה ושימוש</w:t>
      </w:r>
      <w:r w:rsidRPr="006F0748">
        <w:rPr>
          <w:rFonts w:ascii="Arial" w:hAnsi="Arial" w:hint="cs"/>
          <w:noProof w:val="0"/>
          <w:rtl/>
        </w:rPr>
        <w:t xml:space="preserve"> בנכס, </w:t>
      </w:r>
      <w:r>
        <w:rPr>
          <w:rFonts w:ascii="Arial" w:hAnsi="Arial" w:hint="cs"/>
          <w:noProof w:val="0"/>
          <w:rtl/>
        </w:rPr>
        <w:t xml:space="preserve">הן ע"י המבקש 1 והן על ידי בנותיה המתגוררות עימה, </w:t>
      </w:r>
      <w:r w:rsidRPr="006F0748">
        <w:rPr>
          <w:rFonts w:ascii="Arial" w:hAnsi="Arial" w:hint="cs"/>
          <w:noProof w:val="0"/>
          <w:rtl/>
        </w:rPr>
        <w:t xml:space="preserve">מוטב </w:t>
      </w:r>
      <w:r>
        <w:rPr>
          <w:rFonts w:ascii="Arial" w:hAnsi="Arial" w:hint="cs"/>
          <w:noProof w:val="0"/>
          <w:rtl/>
        </w:rPr>
        <w:t>שלא</w:t>
      </w:r>
      <w:r w:rsidRPr="006F0748">
        <w:rPr>
          <w:rFonts w:ascii="Arial" w:hAnsi="Arial" w:hint="cs"/>
          <w:noProof w:val="0"/>
          <w:rtl/>
        </w:rPr>
        <w:t xml:space="preserve"> </w:t>
      </w:r>
      <w:r>
        <w:rPr>
          <w:rFonts w:ascii="Arial" w:hAnsi="Arial" w:hint="cs"/>
          <w:noProof w:val="0"/>
          <w:rtl/>
        </w:rPr>
        <w:t>היו נטענות.</w:t>
      </w:r>
    </w:p>
    <w:p w:rsidR="006F0748" w:rsidRDefault="006F0748" w:rsidP="00BB1267">
      <w:pPr>
        <w:pStyle w:val="ad"/>
        <w:numPr>
          <w:ilvl w:val="0"/>
          <w:numId w:val="1"/>
        </w:numPr>
        <w:spacing w:after="240" w:line="360" w:lineRule="auto"/>
        <w:jc w:val="both"/>
        <w:rPr>
          <w:rFonts w:ascii="Arial" w:hAnsi="Arial"/>
          <w:noProof w:val="0"/>
        </w:rPr>
      </w:pPr>
      <w:r>
        <w:rPr>
          <w:rFonts w:ascii="Arial" w:hAnsi="Arial" w:hint="cs"/>
          <w:noProof w:val="0"/>
          <w:rtl/>
        </w:rPr>
        <w:t xml:space="preserve">לגבי </w:t>
      </w:r>
      <w:r w:rsidR="002D531B">
        <w:rPr>
          <w:rFonts w:ascii="Arial" w:hAnsi="Arial" w:hint="cs"/>
          <w:noProof w:val="0"/>
          <w:rtl/>
        </w:rPr>
        <w:t xml:space="preserve">טענת מתן הרשות </w:t>
      </w:r>
      <w:r>
        <w:rPr>
          <w:rFonts w:ascii="Arial" w:hAnsi="Arial" w:hint="cs"/>
          <w:noProof w:val="0"/>
          <w:rtl/>
        </w:rPr>
        <w:t xml:space="preserve">של המבקש 1- המבקש 1 עמד לאורך כל ההליך הקודם על סירובו לאפשר למשיבה להתגורר בנכס. כל אותה העת, הוא </w:t>
      </w:r>
      <w:r w:rsidR="00BB1267">
        <w:rPr>
          <w:rFonts w:ascii="Arial" w:hAnsi="Arial" w:hint="cs"/>
          <w:noProof w:val="0"/>
          <w:rtl/>
        </w:rPr>
        <w:t xml:space="preserve">העלה אף </w:t>
      </w:r>
      <w:r>
        <w:rPr>
          <w:rFonts w:ascii="Arial" w:hAnsi="Arial" w:hint="cs"/>
          <w:noProof w:val="0"/>
          <w:rtl/>
        </w:rPr>
        <w:t>הצעות חלופיות (הצעות שנדחו על ידי המשיבה)</w:t>
      </w:r>
      <w:r w:rsidR="00BB1267">
        <w:rPr>
          <w:rFonts w:ascii="Arial" w:hAnsi="Arial" w:hint="cs"/>
          <w:noProof w:val="0"/>
          <w:rtl/>
        </w:rPr>
        <w:t>, אך מעולם לא חזר בו מטענותיו בענין הפינוי</w:t>
      </w:r>
      <w:r>
        <w:rPr>
          <w:rFonts w:ascii="Arial" w:hAnsi="Arial" w:hint="cs"/>
          <w:noProof w:val="0"/>
          <w:rtl/>
        </w:rPr>
        <w:t xml:space="preserve">. גם כעת, משהעלתה המשיבה את הטענה כי הוא התיר לה את השימוש, חוזר המבקש 1 באופן נוקב על סירובו והדבר מגובה בתצהיר שצורף לבקשה לסילוק על הסף. </w:t>
      </w:r>
    </w:p>
    <w:p w:rsidR="006F0748" w:rsidRDefault="002D531B" w:rsidP="006F0748">
      <w:pPr>
        <w:pStyle w:val="ad"/>
        <w:numPr>
          <w:ilvl w:val="0"/>
          <w:numId w:val="1"/>
        </w:numPr>
        <w:spacing w:after="240" w:line="360" w:lineRule="auto"/>
        <w:jc w:val="both"/>
        <w:rPr>
          <w:rFonts w:ascii="Arial" w:hAnsi="Arial"/>
          <w:noProof w:val="0"/>
        </w:rPr>
      </w:pPr>
      <w:r>
        <w:rPr>
          <w:rFonts w:ascii="Arial" w:hAnsi="Arial" w:hint="cs"/>
          <w:noProof w:val="0"/>
          <w:rtl/>
        </w:rPr>
        <w:t>לגבי טענת מתן הרשות של בנותיה הבגירות בדירה-  המדובר בטענה מופרכת ולא ברורה, משעה שבהליך הקודם הוכח כי הבעלים של הנכס הנם המבקש 1 והמבקשת 2 (סבתו של המבקש 1). לכן, ככל שאכן ניתנה לאם "רשות" על ידי בנותיה הבגירות, אין להן כל סמכות חוקית לעשות כן.</w:t>
      </w:r>
    </w:p>
    <w:p w:rsidR="00AD4B90" w:rsidRDefault="002D531B" w:rsidP="003A1706">
      <w:pPr>
        <w:pStyle w:val="ad"/>
        <w:numPr>
          <w:ilvl w:val="0"/>
          <w:numId w:val="1"/>
        </w:numPr>
        <w:spacing w:after="240" w:line="360" w:lineRule="auto"/>
        <w:jc w:val="both"/>
        <w:rPr>
          <w:rFonts w:ascii="Arial" w:hAnsi="Arial"/>
          <w:noProof w:val="0"/>
        </w:rPr>
      </w:pPr>
      <w:r>
        <w:rPr>
          <w:rFonts w:ascii="Arial" w:hAnsi="Arial" w:hint="cs"/>
          <w:noProof w:val="0"/>
          <w:rtl/>
        </w:rPr>
        <w:t>סבורת</w:t>
      </w:r>
      <w:r w:rsidR="00AD4B90">
        <w:rPr>
          <w:rFonts w:ascii="Arial" w:hAnsi="Arial" w:hint="cs"/>
          <w:noProof w:val="0"/>
          <w:rtl/>
        </w:rPr>
        <w:t xml:space="preserve">ני </w:t>
      </w:r>
      <w:r>
        <w:rPr>
          <w:rFonts w:ascii="Arial" w:hAnsi="Arial" w:hint="cs"/>
          <w:noProof w:val="0"/>
          <w:rtl/>
        </w:rPr>
        <w:t>כי</w:t>
      </w:r>
      <w:r w:rsidR="00AD4B90">
        <w:rPr>
          <w:rFonts w:ascii="Arial" w:hAnsi="Arial" w:hint="cs"/>
          <w:noProof w:val="0"/>
          <w:rtl/>
        </w:rPr>
        <w:t xml:space="preserve"> יש ממש בטענת המבקש לפיה, התביעה דנן הוגשה בחוסר תום לב כאשר כל מטרתה הנה לנסות ולעכב את הליכי הפינוי אשר נקבעו בפסק הדין בהליך הקודם</w:t>
      </w:r>
      <w:r w:rsidR="003A1706">
        <w:rPr>
          <w:rFonts w:ascii="Arial" w:hAnsi="Arial" w:hint="cs"/>
          <w:noProof w:val="0"/>
          <w:rtl/>
        </w:rPr>
        <w:t xml:space="preserve"> וזאת אף יוזכר כי גם קודם לניהול ההליך הקודם סוכם בע"פ מועד פינוי והמשיבה לא עמדה בו ועל כן התובעים (שם) נאלצו להגיש את תביעת הפינוי)</w:t>
      </w:r>
      <w:r w:rsidR="00AD4B90">
        <w:rPr>
          <w:rFonts w:ascii="Arial" w:hAnsi="Arial" w:hint="cs"/>
          <w:noProof w:val="0"/>
          <w:rtl/>
        </w:rPr>
        <w:t>.</w:t>
      </w:r>
    </w:p>
    <w:p w:rsidR="003A1A47" w:rsidRPr="003A1A47" w:rsidRDefault="003A1A47" w:rsidP="003A1A47">
      <w:pPr>
        <w:pStyle w:val="ad"/>
        <w:spacing w:after="240" w:line="360" w:lineRule="auto"/>
        <w:jc w:val="both"/>
        <w:rPr>
          <w:rFonts w:ascii="Arial" w:hAnsi="Arial"/>
          <w:b/>
          <w:bCs/>
          <w:noProof w:val="0"/>
          <w:u w:val="single"/>
          <w:rtl/>
        </w:rPr>
      </w:pPr>
      <w:r>
        <w:rPr>
          <w:rFonts w:ascii="Arial" w:hAnsi="Arial" w:hint="cs"/>
          <w:noProof w:val="0"/>
          <w:rtl/>
        </w:rPr>
        <w:t xml:space="preserve">יובא לענין זה האמור </w:t>
      </w:r>
      <w:r w:rsidRPr="003A1A47">
        <w:rPr>
          <w:rFonts w:ascii="Arial" w:hAnsi="Arial" w:hint="cs"/>
          <w:b/>
          <w:bCs/>
          <w:noProof w:val="0"/>
          <w:u w:val="single"/>
          <w:rtl/>
        </w:rPr>
        <w:t>בסע' 11 לפסה"ד מיום 5.7.2022 בתמ"ש 25813-04-19 שם נקבע :</w:t>
      </w:r>
    </w:p>
    <w:p w:rsidR="003A1A47" w:rsidRPr="003A1A47" w:rsidRDefault="003A1A47" w:rsidP="003A1A47">
      <w:pPr>
        <w:spacing w:line="360" w:lineRule="auto"/>
        <w:ind w:left="1440" w:hanging="720"/>
        <w:jc w:val="both"/>
        <w:rPr>
          <w:rFonts w:ascii="Arial" w:hAnsi="Arial"/>
          <w:b/>
          <w:bCs/>
          <w:noProof w:val="0"/>
        </w:rPr>
      </w:pPr>
      <w:r>
        <w:rPr>
          <w:rFonts w:ascii="Arial" w:hAnsi="Arial" w:hint="cs"/>
          <w:b/>
          <w:bCs/>
          <w:noProof w:val="0"/>
          <w:rtl/>
        </w:rPr>
        <w:lastRenderedPageBreak/>
        <w:t>"</w:t>
      </w:r>
      <w:r>
        <w:rPr>
          <w:rFonts w:ascii="Arial" w:hAnsi="Arial"/>
          <w:b/>
          <w:bCs/>
          <w:noProof w:val="0"/>
          <w:rtl/>
        </w:rPr>
        <w:tab/>
      </w:r>
      <w:r w:rsidRPr="003A1A47">
        <w:rPr>
          <w:rFonts w:ascii="Arial" w:hAnsi="Arial"/>
          <w:b/>
          <w:bCs/>
          <w:noProof w:val="0"/>
          <w:rtl/>
        </w:rPr>
        <w:t>בענייננו, אין חולק כי התובעים זכאים להירשם כבעלי הזכויות במשק נשוא המחלוקת מכוח צו קיום צוואה, בהיותם יורשיו של המנוח.</w:t>
      </w:r>
    </w:p>
    <w:p w:rsidR="003A1A47" w:rsidRPr="003A1A47" w:rsidRDefault="003A1A47" w:rsidP="003A1A47">
      <w:pPr>
        <w:spacing w:line="360" w:lineRule="auto"/>
        <w:ind w:left="720" w:hanging="720"/>
        <w:jc w:val="both"/>
        <w:rPr>
          <w:rFonts w:ascii="Arial" w:hAnsi="Arial"/>
          <w:b/>
          <w:bCs/>
          <w:noProof w:val="0"/>
          <w:rtl/>
        </w:rPr>
      </w:pPr>
    </w:p>
    <w:p w:rsidR="003A1A47" w:rsidRPr="003A1A47" w:rsidRDefault="003A1A47" w:rsidP="003A1A47">
      <w:pPr>
        <w:spacing w:line="360" w:lineRule="auto"/>
        <w:ind w:left="1440"/>
        <w:jc w:val="both"/>
        <w:rPr>
          <w:rFonts w:ascii="Arial" w:hAnsi="Arial"/>
          <w:b/>
          <w:bCs/>
          <w:noProof w:val="0"/>
          <w:rtl/>
        </w:rPr>
      </w:pPr>
      <w:r w:rsidRPr="003A1A47">
        <w:rPr>
          <w:rFonts w:ascii="Arial" w:hAnsi="Arial"/>
          <w:b/>
          <w:bCs/>
          <w:noProof w:val="0"/>
          <w:rtl/>
        </w:rPr>
        <w:t>הנתבעת לא מכחישה זכויות התובעים ואף מאשרת כי אין בידה מסמכים המעידים כי יש לה זכויות בנכס נשוא המחלוקת.</w:t>
      </w:r>
      <w:r w:rsidRPr="003A1A47">
        <w:rPr>
          <w:rFonts w:ascii="Arial" w:hAnsi="Arial"/>
          <w:b/>
          <w:bCs/>
          <w:noProof w:val="0"/>
          <w:rtl/>
        </w:rPr>
        <w:tab/>
      </w:r>
      <w:r w:rsidRPr="003A1A47">
        <w:rPr>
          <w:rFonts w:ascii="Arial" w:hAnsi="Arial" w:hint="cs"/>
          <w:b/>
          <w:bCs/>
          <w:noProof w:val="0"/>
          <w:rtl/>
        </w:rPr>
        <w:t>......</w:t>
      </w:r>
    </w:p>
    <w:p w:rsidR="003A1A47" w:rsidRDefault="003A1A47" w:rsidP="003A1A47">
      <w:pPr>
        <w:spacing w:line="360" w:lineRule="auto"/>
        <w:ind w:left="1440"/>
        <w:jc w:val="both"/>
        <w:rPr>
          <w:rFonts w:ascii="Arial" w:hAnsi="Arial"/>
          <w:noProof w:val="0"/>
        </w:rPr>
      </w:pPr>
      <w:r w:rsidRPr="003A1A47">
        <w:rPr>
          <w:rFonts w:ascii="Arial" w:hAnsi="Arial"/>
          <w:b/>
          <w:bCs/>
          <w:noProof w:val="0"/>
          <w:rtl/>
        </w:rPr>
        <w:t>התובעת אמנם טוענת, טענות בענין ביצוע השקעות בנכס ואולם הטענות נטענות באופן כללי והנתבע לא הציגה כל אסמכתא בענין זה ואף לא פרטה מהן ההשקעות שלטענתה בוצעו על ידה בנכס.</w:t>
      </w:r>
      <w:r w:rsidRPr="003A1A47">
        <w:rPr>
          <w:rFonts w:ascii="Arial" w:hAnsi="Arial"/>
          <w:b/>
          <w:bCs/>
          <w:noProof w:val="0"/>
          <w:rtl/>
        </w:rPr>
        <w:tab/>
      </w:r>
      <w:r>
        <w:rPr>
          <w:rFonts w:ascii="Arial" w:hAnsi="Arial"/>
          <w:noProof w:val="0"/>
          <w:rtl/>
        </w:rPr>
        <w:tab/>
      </w:r>
      <w:r>
        <w:rPr>
          <w:rFonts w:ascii="Arial" w:hAnsi="Arial" w:hint="cs"/>
          <w:noProof w:val="0"/>
          <w:rtl/>
        </w:rPr>
        <w:t>"</w:t>
      </w:r>
    </w:p>
    <w:p w:rsidR="00AD4B90" w:rsidRPr="003A1706" w:rsidRDefault="003A1706" w:rsidP="00AD4B90">
      <w:pPr>
        <w:pStyle w:val="ad"/>
        <w:numPr>
          <w:ilvl w:val="0"/>
          <w:numId w:val="1"/>
        </w:numPr>
        <w:spacing w:after="240" w:line="360" w:lineRule="auto"/>
        <w:jc w:val="both"/>
        <w:rPr>
          <w:rFonts w:ascii="Arial" w:hAnsi="Arial"/>
          <w:b/>
          <w:bCs/>
          <w:noProof w:val="0"/>
        </w:rPr>
      </w:pPr>
      <w:r>
        <w:rPr>
          <w:rFonts w:ascii="Arial" w:hAnsi="Arial" w:hint="cs"/>
          <w:noProof w:val="0"/>
          <w:rtl/>
        </w:rPr>
        <w:t>בנסיבות אלו כאמור אני מוצאת כי יש מקום לסילוק התביעה על הסף</w:t>
      </w:r>
      <w:r w:rsidR="003A1A47">
        <w:rPr>
          <w:rFonts w:ascii="Arial" w:hAnsi="Arial" w:hint="cs"/>
          <w:noProof w:val="0"/>
          <w:rtl/>
        </w:rPr>
        <w:t xml:space="preserve"> ואף נוכח הוראות תקנה 43 לתקנות סדר הדין האזרחי לדחייתה על הסף</w:t>
      </w:r>
      <w:r>
        <w:rPr>
          <w:rFonts w:ascii="Arial" w:hAnsi="Arial" w:hint="cs"/>
          <w:noProof w:val="0"/>
          <w:rtl/>
        </w:rPr>
        <w:t xml:space="preserve">. </w:t>
      </w:r>
    </w:p>
    <w:p w:rsidR="002D531B" w:rsidRPr="003A1706" w:rsidRDefault="003A1706" w:rsidP="003A1A47">
      <w:pPr>
        <w:pStyle w:val="ad"/>
        <w:numPr>
          <w:ilvl w:val="0"/>
          <w:numId w:val="1"/>
        </w:numPr>
        <w:spacing w:after="240" w:line="360" w:lineRule="auto"/>
        <w:jc w:val="both"/>
        <w:rPr>
          <w:rFonts w:ascii="Arial" w:hAnsi="Arial"/>
          <w:noProof w:val="0"/>
        </w:rPr>
      </w:pPr>
      <w:r w:rsidRPr="003A1706">
        <w:rPr>
          <w:rFonts w:ascii="Arial" w:hAnsi="Arial" w:hint="cs"/>
          <w:noProof w:val="0"/>
          <w:rtl/>
        </w:rPr>
        <w:t xml:space="preserve">בכל </w:t>
      </w:r>
      <w:r>
        <w:rPr>
          <w:rFonts w:ascii="Arial" w:hAnsi="Arial" w:hint="cs"/>
          <w:noProof w:val="0"/>
          <w:rtl/>
        </w:rPr>
        <w:t>הנוגע ל</w:t>
      </w:r>
      <w:r w:rsidRPr="003A1706">
        <w:rPr>
          <w:rFonts w:ascii="Arial" w:hAnsi="Arial" w:hint="cs"/>
          <w:noProof w:val="0"/>
          <w:rtl/>
        </w:rPr>
        <w:t>פסיקת הוצאות ושעה שב</w:t>
      </w:r>
      <w:r w:rsidR="00AD4B90" w:rsidRPr="003A1706">
        <w:rPr>
          <w:rFonts w:ascii="Arial" w:hAnsi="Arial" w:hint="cs"/>
          <w:noProof w:val="0"/>
          <w:rtl/>
        </w:rPr>
        <w:t>הליך הקודם, ועל אף שהמשיבה התעקשה לקיימו עד תום,</w:t>
      </w:r>
      <w:r>
        <w:rPr>
          <w:rFonts w:ascii="Arial" w:hAnsi="Arial" w:hint="cs"/>
          <w:noProof w:val="0"/>
          <w:rtl/>
        </w:rPr>
        <w:t xml:space="preserve"> על אף שהובהרו לה הסיכויים גם קודם למתן פסה"ד</w:t>
      </w:r>
      <w:r w:rsidR="0008253E" w:rsidRPr="003A1706">
        <w:rPr>
          <w:rFonts w:ascii="Arial" w:hAnsi="Arial" w:hint="cs"/>
          <w:noProof w:val="0"/>
          <w:rtl/>
        </w:rPr>
        <w:t xml:space="preserve">, </w:t>
      </w:r>
      <w:r w:rsidR="00AD4B90" w:rsidRPr="003A1706">
        <w:rPr>
          <w:rFonts w:ascii="Arial" w:hAnsi="Arial" w:hint="cs"/>
          <w:noProof w:val="0"/>
          <w:rtl/>
        </w:rPr>
        <w:t xml:space="preserve"> </w:t>
      </w:r>
      <w:r w:rsidR="003A1A47">
        <w:rPr>
          <w:rFonts w:ascii="Arial" w:hAnsi="Arial" w:hint="cs"/>
          <w:noProof w:val="0"/>
          <w:rtl/>
        </w:rPr>
        <w:t xml:space="preserve">אז </w:t>
      </w:r>
      <w:r w:rsidR="00AD4B90" w:rsidRPr="003A1706">
        <w:rPr>
          <w:rFonts w:ascii="Arial" w:hAnsi="Arial" w:hint="cs"/>
          <w:noProof w:val="0"/>
          <w:rtl/>
        </w:rPr>
        <w:t>מצאתי שלא ל</w:t>
      </w:r>
      <w:r w:rsidR="003A1A47">
        <w:rPr>
          <w:rFonts w:ascii="Arial" w:hAnsi="Arial" w:hint="cs"/>
          <w:noProof w:val="0"/>
          <w:rtl/>
        </w:rPr>
        <w:t xml:space="preserve">הטיל צו להוצאות, אך לא </w:t>
      </w:r>
      <w:r w:rsidR="0008253E" w:rsidRPr="003A1706">
        <w:rPr>
          <w:rFonts w:ascii="Arial" w:hAnsi="Arial" w:hint="cs"/>
          <w:noProof w:val="0"/>
          <w:rtl/>
        </w:rPr>
        <w:t xml:space="preserve"> כך הפעם.</w:t>
      </w:r>
    </w:p>
    <w:p w:rsidR="0008253E" w:rsidRDefault="003A1706" w:rsidP="003A1706">
      <w:pPr>
        <w:pStyle w:val="ad"/>
        <w:numPr>
          <w:ilvl w:val="0"/>
          <w:numId w:val="1"/>
        </w:numPr>
        <w:spacing w:after="240" w:line="360" w:lineRule="auto"/>
        <w:jc w:val="both"/>
        <w:rPr>
          <w:rFonts w:ascii="Arial" w:hAnsi="Arial"/>
          <w:noProof w:val="0"/>
        </w:rPr>
      </w:pPr>
      <w:r>
        <w:rPr>
          <w:rFonts w:ascii="Arial" w:hAnsi="Arial" w:hint="cs"/>
          <w:noProof w:val="0"/>
          <w:rtl/>
        </w:rPr>
        <w:t xml:space="preserve">נראה כי הגשת התביעה שבכותרת, הינה דוגמא קלאסית </w:t>
      </w:r>
      <w:r w:rsidR="0008253E">
        <w:rPr>
          <w:rFonts w:ascii="Arial" w:hAnsi="Arial" w:hint="cs"/>
          <w:noProof w:val="0"/>
          <w:rtl/>
        </w:rPr>
        <w:t>לשימוש לרעה בהליכים משפטיים, תוך בזבוז זמן שיפוטי יקר ועל חשבון מתדיינים אחרים אשר ממתינים שענייניהם יישמעו.</w:t>
      </w:r>
    </w:p>
    <w:p w:rsidR="007D2DB7" w:rsidRPr="003A1A47" w:rsidRDefault="003A1706" w:rsidP="003A1706">
      <w:pPr>
        <w:pStyle w:val="ad"/>
        <w:numPr>
          <w:ilvl w:val="0"/>
          <w:numId w:val="1"/>
        </w:numPr>
        <w:spacing w:after="240" w:line="360" w:lineRule="auto"/>
        <w:jc w:val="both"/>
        <w:rPr>
          <w:rFonts w:ascii="Arial" w:hAnsi="Arial"/>
          <w:b/>
          <w:bCs/>
          <w:noProof w:val="0"/>
        </w:rPr>
      </w:pPr>
      <w:r w:rsidRPr="003A1A47">
        <w:rPr>
          <w:rFonts w:ascii="Arial" w:hAnsi="Arial" w:hint="cs"/>
          <w:b/>
          <w:bCs/>
          <w:noProof w:val="0"/>
          <w:rtl/>
        </w:rPr>
        <w:t xml:space="preserve">משכך אני מורה על דחיית התביעה על הסף ועל חיוב </w:t>
      </w:r>
      <w:r w:rsidR="00E3056D" w:rsidRPr="003A1A47">
        <w:rPr>
          <w:rFonts w:ascii="Arial" w:hAnsi="Arial" w:hint="cs"/>
          <w:b/>
          <w:bCs/>
          <w:noProof w:val="0"/>
          <w:rtl/>
        </w:rPr>
        <w:t xml:space="preserve">המשיבה </w:t>
      </w:r>
      <w:r w:rsidRPr="003A1A47">
        <w:rPr>
          <w:rFonts w:ascii="Arial" w:hAnsi="Arial" w:hint="cs"/>
          <w:b/>
          <w:bCs/>
          <w:noProof w:val="0"/>
          <w:rtl/>
        </w:rPr>
        <w:t>בהוצאות הנתבעים בסך 7,500 ₪ אשר ישולמו בתוך 30 ימים כשהסכום נושא הפרשי הצמדה וריבית עד מועד התשלום בפועל.</w:t>
      </w:r>
    </w:p>
    <w:p w:rsidR="003A1706" w:rsidRDefault="003A1706" w:rsidP="003A1706">
      <w:pPr>
        <w:pStyle w:val="ad"/>
        <w:numPr>
          <w:ilvl w:val="0"/>
          <w:numId w:val="1"/>
        </w:numPr>
        <w:spacing w:after="240" w:line="360" w:lineRule="auto"/>
        <w:jc w:val="both"/>
        <w:rPr>
          <w:rFonts w:ascii="Arial" w:hAnsi="Arial"/>
          <w:noProof w:val="0"/>
        </w:rPr>
      </w:pPr>
      <w:r w:rsidRPr="003A1A47">
        <w:rPr>
          <w:rFonts w:ascii="Arial" w:hAnsi="Arial" w:hint="cs"/>
          <w:b/>
          <w:bCs/>
          <w:noProof w:val="0"/>
          <w:rtl/>
        </w:rPr>
        <w:t>המזכירות תשלח ההחלטה לצדדים ותסגור את התיק</w:t>
      </w:r>
      <w:r>
        <w:rPr>
          <w:rFonts w:ascii="Arial" w:hAnsi="Arial" w:hint="cs"/>
          <w:noProof w:val="0"/>
          <w:rtl/>
        </w:rPr>
        <w:t>.</w:t>
      </w:r>
      <w:r w:rsidR="003A1A47">
        <w:rPr>
          <w:rFonts w:ascii="Arial" w:hAnsi="Arial" w:hint="cs"/>
          <w:noProof w:val="0"/>
          <w:rtl/>
        </w:rPr>
        <w:t xml:space="preserve"> קד"מ שנקבע ביומן ביהמ"ש מבוטל.</w:t>
      </w:r>
    </w:p>
    <w:p w:rsidR="003A1A47" w:rsidRPr="003A1A47" w:rsidRDefault="003A1A47" w:rsidP="003A1706">
      <w:pPr>
        <w:pStyle w:val="ad"/>
        <w:numPr>
          <w:ilvl w:val="0"/>
          <w:numId w:val="1"/>
        </w:numPr>
        <w:spacing w:after="240" w:line="360" w:lineRule="auto"/>
        <w:jc w:val="both"/>
        <w:rPr>
          <w:rFonts w:ascii="Arial" w:hAnsi="Arial"/>
          <w:noProof w:val="0"/>
          <w:rtl/>
        </w:rPr>
      </w:pPr>
      <w:r w:rsidRPr="003A1A47">
        <w:rPr>
          <w:rFonts w:ascii="Arial" w:hAnsi="Arial" w:hint="cs"/>
          <w:noProof w:val="0"/>
          <w:rtl/>
        </w:rPr>
        <w:lastRenderedPageBreak/>
        <w:t>מתירה העברה למאגרי פסיקה בהשמטת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דצמבר 2024</w:t>
          </w:r>
        </w:sdtContent>
      </w:sdt>
      <w:r w:rsidR="00005C8B">
        <w:rPr>
          <w:rFonts w:ascii="Arial" w:hAnsi="Arial"/>
          <w:noProof w:val="0"/>
          <w:rtl/>
        </w:rPr>
        <w:t>, בהעדר הצדדים.</w:t>
      </w:r>
    </w:p>
    <w:p w:rsidR="00C43648" w:rsidRDefault="00D9136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34255516"/>
        </w:sdtPr>
        <w:sdtEndPr/>
        <w:sdtContent>
          <w:r w:rsidR="00487E41">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360" w:rsidRDefault="00D91360">
      <w:r>
        <w:separator/>
      </w:r>
    </w:p>
  </w:endnote>
  <w:endnote w:type="continuationSeparator" w:id="0">
    <w:p w:rsidR="00D91360" w:rsidRDefault="00D9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A09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A09D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360" w:rsidRDefault="00D91360">
      <w:r>
        <w:separator/>
      </w:r>
    </w:p>
  </w:footnote>
  <w:footnote w:type="continuationSeparator" w:id="0">
    <w:p w:rsidR="00D91360" w:rsidRDefault="00D9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91360" w:rsidP="008B4AB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58185-07-24</w:t>
              </w:r>
            </w:sdtContent>
          </w:sdt>
          <w:r w:rsidR="00005C8B">
            <w:rPr>
              <w:b/>
              <w:bCs/>
              <w:noProof w:val="0"/>
              <w:sz w:val="26"/>
              <w:szCs w:val="26"/>
              <w:rtl/>
            </w:rPr>
            <w:t xml:space="preserve"> </w:t>
          </w:r>
          <w:sdt>
            <w:sdtPr>
              <w:rPr>
                <w:rtl/>
              </w:rPr>
              <w:alias w:val="1172"/>
              <w:tag w:val="1172"/>
              <w:id w:val="-595170033"/>
              <w:text w:multiLine="1"/>
            </w:sdtPr>
            <w:sdtEndPr/>
            <w:sdtContent>
              <w:r w:rsidR="008B4ABE">
                <w:rPr>
                  <w:rFonts w:hint="cs"/>
                  <w:b/>
                  <w:bCs/>
                  <w:noProof w:val="0"/>
                  <w:sz w:val="26"/>
                  <w:szCs w:val="26"/>
                  <w:rtl/>
                </w:rPr>
                <w:t>פלונית</w:t>
              </w:r>
              <w:r w:rsidR="00064651">
                <w:rPr>
                  <w:b/>
                  <w:bCs/>
                  <w:noProof w:val="0"/>
                  <w:sz w:val="26"/>
                  <w:szCs w:val="26"/>
                  <w:rtl/>
                </w:rPr>
                <w:t xml:space="preserve"> נ' </w:t>
              </w:r>
              <w:r w:rsidR="008B4ABE">
                <w:rPr>
                  <w:rFonts w:hint="cs"/>
                  <w:b/>
                  <w:bCs/>
                  <w:noProof w:val="0"/>
                  <w:sz w:val="26"/>
                  <w:szCs w:val="26"/>
                  <w:rtl/>
                </w:rPr>
                <w:t>פלוני</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0C4584">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7318"/>
    <w:multiLevelType w:val="hybridMultilevel"/>
    <w:tmpl w:val="22A80ED6"/>
    <w:lvl w:ilvl="0" w:tplc="6E1A4E00">
      <w:start w:val="1"/>
      <w:numFmt w:val="decimal"/>
      <w:lvlText w:val="%1."/>
      <w:lvlJc w:val="left"/>
      <w:pPr>
        <w:ind w:left="720" w:hanging="360"/>
      </w:pPr>
      <w:rPr>
        <w:rFonts w:hint="default"/>
        <w:b w:val="0"/>
        <w:bCs w:val="0"/>
        <w:i w:val="0"/>
        <w:i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F1FA9"/>
    <w:multiLevelType w:val="multilevel"/>
    <w:tmpl w:val="89AACFD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90359B"/>
    <w:multiLevelType w:val="multilevel"/>
    <w:tmpl w:val="976A603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186980"/>
    <w:multiLevelType w:val="multilevel"/>
    <w:tmpl w:val="4FC0FB8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6D1791"/>
    <w:multiLevelType w:val="multilevel"/>
    <w:tmpl w:val="BA72249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2B5B56"/>
    <w:multiLevelType w:val="hybridMultilevel"/>
    <w:tmpl w:val="D8D05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225363"/>
    <w:multiLevelType w:val="hybridMultilevel"/>
    <w:tmpl w:val="83EA42CC"/>
    <w:lvl w:ilvl="0" w:tplc="F80A2F7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2823E7"/>
    <w:multiLevelType w:val="multilevel"/>
    <w:tmpl w:val="01E2B064"/>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3"/>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73D88"/>
    <w:rsid w:val="0008253E"/>
    <w:rsid w:val="00082AB2"/>
    <w:rsid w:val="000906FE"/>
    <w:rsid w:val="00096AF7"/>
    <w:rsid w:val="000B344B"/>
    <w:rsid w:val="000C3B0F"/>
    <w:rsid w:val="000C3B60"/>
    <w:rsid w:val="000C4584"/>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46197"/>
    <w:rsid w:val="00271B56"/>
    <w:rsid w:val="0028443A"/>
    <w:rsid w:val="002A09D9"/>
    <w:rsid w:val="002A6740"/>
    <w:rsid w:val="002C344E"/>
    <w:rsid w:val="002C3F4A"/>
    <w:rsid w:val="002D0D39"/>
    <w:rsid w:val="002D531B"/>
    <w:rsid w:val="002E75E9"/>
    <w:rsid w:val="002F12F9"/>
    <w:rsid w:val="00307A6A"/>
    <w:rsid w:val="00307C40"/>
    <w:rsid w:val="00320433"/>
    <w:rsid w:val="003230C7"/>
    <w:rsid w:val="00327E50"/>
    <w:rsid w:val="0033597A"/>
    <w:rsid w:val="00343D89"/>
    <w:rsid w:val="00362612"/>
    <w:rsid w:val="0036743F"/>
    <w:rsid w:val="003715DD"/>
    <w:rsid w:val="003823E0"/>
    <w:rsid w:val="003927DC"/>
    <w:rsid w:val="003A1706"/>
    <w:rsid w:val="003A1A47"/>
    <w:rsid w:val="003A4521"/>
    <w:rsid w:val="003D1C8C"/>
    <w:rsid w:val="003D7B67"/>
    <w:rsid w:val="0040096C"/>
    <w:rsid w:val="00401CE4"/>
    <w:rsid w:val="00414F1F"/>
    <w:rsid w:val="0043125D"/>
    <w:rsid w:val="0043502B"/>
    <w:rsid w:val="004443AC"/>
    <w:rsid w:val="00444B02"/>
    <w:rsid w:val="00451E28"/>
    <w:rsid w:val="00462C62"/>
    <w:rsid w:val="00465D36"/>
    <w:rsid w:val="00487E41"/>
    <w:rsid w:val="004B7138"/>
    <w:rsid w:val="004C17EE"/>
    <w:rsid w:val="004C4BDF"/>
    <w:rsid w:val="004D1187"/>
    <w:rsid w:val="004D3AA0"/>
    <w:rsid w:val="004E1987"/>
    <w:rsid w:val="004E2E15"/>
    <w:rsid w:val="004E6E3C"/>
    <w:rsid w:val="004F211E"/>
    <w:rsid w:val="005054BD"/>
    <w:rsid w:val="00520898"/>
    <w:rsid w:val="00523621"/>
    <w:rsid w:val="00524986"/>
    <w:rsid w:val="005268F6"/>
    <w:rsid w:val="005325FC"/>
    <w:rsid w:val="00534284"/>
    <w:rsid w:val="00547DB7"/>
    <w:rsid w:val="00555D20"/>
    <w:rsid w:val="0059605B"/>
    <w:rsid w:val="005B4168"/>
    <w:rsid w:val="005D3775"/>
    <w:rsid w:val="005F4F09"/>
    <w:rsid w:val="005F51CA"/>
    <w:rsid w:val="00602C12"/>
    <w:rsid w:val="0061431B"/>
    <w:rsid w:val="00615EAA"/>
    <w:rsid w:val="00622BAA"/>
    <w:rsid w:val="006306CF"/>
    <w:rsid w:val="0063781B"/>
    <w:rsid w:val="00644E9A"/>
    <w:rsid w:val="006458C8"/>
    <w:rsid w:val="00671BD5"/>
    <w:rsid w:val="00680529"/>
    <w:rsid w:val="006805C1"/>
    <w:rsid w:val="00686C21"/>
    <w:rsid w:val="006931C1"/>
    <w:rsid w:val="00694556"/>
    <w:rsid w:val="006C2384"/>
    <w:rsid w:val="006C30C5"/>
    <w:rsid w:val="006C3C71"/>
    <w:rsid w:val="006C4584"/>
    <w:rsid w:val="006C4820"/>
    <w:rsid w:val="006D21B8"/>
    <w:rsid w:val="006D3B31"/>
    <w:rsid w:val="006E0D96"/>
    <w:rsid w:val="006E1A53"/>
    <w:rsid w:val="006E4DC4"/>
    <w:rsid w:val="006F0748"/>
    <w:rsid w:val="006F56E6"/>
    <w:rsid w:val="00704EDA"/>
    <w:rsid w:val="00705FDD"/>
    <w:rsid w:val="007077B9"/>
    <w:rsid w:val="00721122"/>
    <w:rsid w:val="00752687"/>
    <w:rsid w:val="00752981"/>
    <w:rsid w:val="00753019"/>
    <w:rsid w:val="00754801"/>
    <w:rsid w:val="00761441"/>
    <w:rsid w:val="00795365"/>
    <w:rsid w:val="007A351D"/>
    <w:rsid w:val="007B7765"/>
    <w:rsid w:val="007C5BDD"/>
    <w:rsid w:val="007D2DB7"/>
    <w:rsid w:val="007D45E3"/>
    <w:rsid w:val="007D4AC5"/>
    <w:rsid w:val="007D642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A1882"/>
    <w:rsid w:val="008B4ABE"/>
    <w:rsid w:val="008C3C49"/>
    <w:rsid w:val="008C5714"/>
    <w:rsid w:val="008D10B2"/>
    <w:rsid w:val="008F48E3"/>
    <w:rsid w:val="00903896"/>
    <w:rsid w:val="00906F3D"/>
    <w:rsid w:val="0091036F"/>
    <w:rsid w:val="0091734E"/>
    <w:rsid w:val="00935F4F"/>
    <w:rsid w:val="0094424E"/>
    <w:rsid w:val="00955642"/>
    <w:rsid w:val="009622DF"/>
    <w:rsid w:val="0096493F"/>
    <w:rsid w:val="00967DFF"/>
    <w:rsid w:val="00994341"/>
    <w:rsid w:val="00996935"/>
    <w:rsid w:val="009D1A48"/>
    <w:rsid w:val="009E1CE7"/>
    <w:rsid w:val="009E4EA5"/>
    <w:rsid w:val="009F164B"/>
    <w:rsid w:val="009F323C"/>
    <w:rsid w:val="00A02DCE"/>
    <w:rsid w:val="00A201C9"/>
    <w:rsid w:val="00A3392B"/>
    <w:rsid w:val="00A85E34"/>
    <w:rsid w:val="00A94B64"/>
    <w:rsid w:val="00AA3229"/>
    <w:rsid w:val="00AA7596"/>
    <w:rsid w:val="00AB5E52"/>
    <w:rsid w:val="00AC1527"/>
    <w:rsid w:val="00AC30D6"/>
    <w:rsid w:val="00AC3B02"/>
    <w:rsid w:val="00AC3B7B"/>
    <w:rsid w:val="00AC5209"/>
    <w:rsid w:val="00AC6CFB"/>
    <w:rsid w:val="00AD4B90"/>
    <w:rsid w:val="00AE0E34"/>
    <w:rsid w:val="00AE729E"/>
    <w:rsid w:val="00AE7752"/>
    <w:rsid w:val="00AF030B"/>
    <w:rsid w:val="00AF7FDA"/>
    <w:rsid w:val="00B2753B"/>
    <w:rsid w:val="00B5356E"/>
    <w:rsid w:val="00B809AD"/>
    <w:rsid w:val="00B80CBD"/>
    <w:rsid w:val="00B86096"/>
    <w:rsid w:val="00B964D9"/>
    <w:rsid w:val="00BA0A7C"/>
    <w:rsid w:val="00BA517C"/>
    <w:rsid w:val="00BB089D"/>
    <w:rsid w:val="00BB1267"/>
    <w:rsid w:val="00BB3D05"/>
    <w:rsid w:val="00BB73BE"/>
    <w:rsid w:val="00BC2D89"/>
    <w:rsid w:val="00BD6531"/>
    <w:rsid w:val="00BE05B2"/>
    <w:rsid w:val="00BE1F17"/>
    <w:rsid w:val="00BF1908"/>
    <w:rsid w:val="00C22D93"/>
    <w:rsid w:val="00C23458"/>
    <w:rsid w:val="00C31120"/>
    <w:rsid w:val="00C34482"/>
    <w:rsid w:val="00C43648"/>
    <w:rsid w:val="00C46354"/>
    <w:rsid w:val="00C5085C"/>
    <w:rsid w:val="00C50A9F"/>
    <w:rsid w:val="00C642FA"/>
    <w:rsid w:val="00C96540"/>
    <w:rsid w:val="00CA3F1F"/>
    <w:rsid w:val="00CB7F8A"/>
    <w:rsid w:val="00CC013F"/>
    <w:rsid w:val="00CC7622"/>
    <w:rsid w:val="00CD608F"/>
    <w:rsid w:val="00CF6BB7"/>
    <w:rsid w:val="00D04AA4"/>
    <w:rsid w:val="00D27982"/>
    <w:rsid w:val="00D33B86"/>
    <w:rsid w:val="00D44968"/>
    <w:rsid w:val="00D53924"/>
    <w:rsid w:val="00D55D0C"/>
    <w:rsid w:val="00D91360"/>
    <w:rsid w:val="00D96D8C"/>
    <w:rsid w:val="00DA6649"/>
    <w:rsid w:val="00DC1259"/>
    <w:rsid w:val="00DC1BD2"/>
    <w:rsid w:val="00DC2571"/>
    <w:rsid w:val="00DC487C"/>
    <w:rsid w:val="00DD0482"/>
    <w:rsid w:val="00DE1E7D"/>
    <w:rsid w:val="00DE6BF6"/>
    <w:rsid w:val="00E04E84"/>
    <w:rsid w:val="00E05515"/>
    <w:rsid w:val="00E1068A"/>
    <w:rsid w:val="00E25884"/>
    <w:rsid w:val="00E25B55"/>
    <w:rsid w:val="00E26B48"/>
    <w:rsid w:val="00E3056D"/>
    <w:rsid w:val="00E31C2B"/>
    <w:rsid w:val="00E47740"/>
    <w:rsid w:val="00E5426A"/>
    <w:rsid w:val="00E54642"/>
    <w:rsid w:val="00E54CD9"/>
    <w:rsid w:val="00E55DDD"/>
    <w:rsid w:val="00E6175B"/>
    <w:rsid w:val="00E80CBE"/>
    <w:rsid w:val="00E962E3"/>
    <w:rsid w:val="00EB6C79"/>
    <w:rsid w:val="00EC37E9"/>
    <w:rsid w:val="00EE71F4"/>
    <w:rsid w:val="00F038D8"/>
    <w:rsid w:val="00F06995"/>
    <w:rsid w:val="00F13623"/>
    <w:rsid w:val="00F4176E"/>
    <w:rsid w:val="00F44D1D"/>
    <w:rsid w:val="00F52706"/>
    <w:rsid w:val="00F7420D"/>
    <w:rsid w:val="00F76758"/>
    <w:rsid w:val="00F84B6D"/>
    <w:rsid w:val="00F90718"/>
    <w:rsid w:val="00F957E8"/>
    <w:rsid w:val="00FA311A"/>
    <w:rsid w:val="00FA5FDA"/>
    <w:rsid w:val="00FB6AB3"/>
    <w:rsid w:val="00FD1419"/>
    <w:rsid w:val="00FD79E4"/>
    <w:rsid w:val="00FE2818"/>
    <w:rsid w:val="00FE2894"/>
    <w:rsid w:val="00FF4B76"/>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073D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6">
    <w:name w:val="heading 6"/>
    <w:basedOn w:val="a"/>
    <w:next w:val="a"/>
    <w:link w:val="60"/>
    <w:semiHidden/>
    <w:unhideWhenUsed/>
    <w:qFormat/>
    <w:rsid w:val="00C9654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D3775"/>
    <w:pPr>
      <w:ind w:left="720"/>
      <w:contextualSpacing/>
    </w:pPr>
  </w:style>
  <w:style w:type="character" w:styleId="ae">
    <w:name w:val="Strong"/>
    <w:basedOn w:val="a0"/>
    <w:uiPriority w:val="22"/>
    <w:qFormat/>
    <w:rsid w:val="00AF030B"/>
    <w:rPr>
      <w:b/>
      <w:bCs/>
    </w:rPr>
  </w:style>
  <w:style w:type="paragraph" w:styleId="NormalWeb">
    <w:name w:val="Normal (Web)"/>
    <w:basedOn w:val="a"/>
    <w:uiPriority w:val="99"/>
    <w:unhideWhenUsed/>
    <w:rsid w:val="00AF030B"/>
    <w:pPr>
      <w:bidi w:val="0"/>
      <w:spacing w:before="100" w:beforeAutospacing="1" w:after="100" w:afterAutospacing="1"/>
    </w:pPr>
    <w:rPr>
      <w:rFonts w:cs="Times New Roman"/>
      <w:noProof w:val="0"/>
    </w:rPr>
  </w:style>
  <w:style w:type="character" w:customStyle="1" w:styleId="60">
    <w:name w:val="כותרת 6 תו"/>
    <w:basedOn w:val="a0"/>
    <w:link w:val="6"/>
    <w:semiHidden/>
    <w:rsid w:val="00C96540"/>
    <w:rPr>
      <w:rFonts w:asciiTheme="majorHAnsi" w:eastAsiaTheme="majorEastAsia" w:hAnsiTheme="majorHAnsi" w:cstheme="majorBidi"/>
      <w:noProof/>
      <w:color w:val="243F60" w:themeColor="accent1" w:themeShade="7F"/>
      <w:sz w:val="24"/>
      <w:szCs w:val="24"/>
    </w:rPr>
  </w:style>
  <w:style w:type="character" w:customStyle="1" w:styleId="10">
    <w:name w:val="כותרת 1 תו"/>
    <w:basedOn w:val="a0"/>
    <w:link w:val="1"/>
    <w:rsid w:val="00073D88"/>
    <w:rPr>
      <w:rFonts w:asciiTheme="majorHAnsi" w:eastAsiaTheme="majorEastAsia" w:hAnsiTheme="majorHAnsi" w:cstheme="majorBidi"/>
      <w:noProof/>
      <w:color w:val="365F91" w:themeColor="accent1" w:themeShade="BF"/>
      <w:sz w:val="32"/>
      <w:szCs w:val="32"/>
    </w:rPr>
  </w:style>
  <w:style w:type="paragraph" w:customStyle="1" w:styleId="ruller40">
    <w:name w:val="ruller40"/>
    <w:basedOn w:val="a"/>
    <w:rsid w:val="006C4584"/>
    <w:pPr>
      <w:bidi w:val="0"/>
      <w:spacing w:before="100" w:beforeAutospacing="1" w:after="100" w:afterAutospacing="1"/>
    </w:pPr>
    <w:rPr>
      <w:rFonts w:cs="Times New Roman"/>
      <w:noProof w:val="0"/>
    </w:rPr>
  </w:style>
  <w:style w:type="paragraph" w:customStyle="1" w:styleId="ruller4">
    <w:name w:val="ruller4"/>
    <w:basedOn w:val="a"/>
    <w:rsid w:val="006C4584"/>
    <w:pPr>
      <w:bidi w:val="0"/>
      <w:spacing w:before="100" w:beforeAutospacing="1" w:after="100" w:afterAutospacing="1"/>
    </w:pPr>
    <w:rPr>
      <w:rFonts w:cs="Times New Roman"/>
      <w:noProof w:val="0"/>
    </w:rPr>
  </w:style>
  <w:style w:type="paragraph" w:customStyle="1" w:styleId="filenumber">
    <w:name w:val="filenumber"/>
    <w:basedOn w:val="a"/>
    <w:rsid w:val="005B4168"/>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739977">
      <w:bodyDiv w:val="1"/>
      <w:marLeft w:val="0"/>
      <w:marRight w:val="0"/>
      <w:marTop w:val="0"/>
      <w:marBottom w:val="0"/>
      <w:divBdr>
        <w:top w:val="none" w:sz="0" w:space="0" w:color="auto"/>
        <w:left w:val="none" w:sz="0" w:space="0" w:color="auto"/>
        <w:bottom w:val="none" w:sz="0" w:space="0" w:color="auto"/>
        <w:right w:val="none" w:sz="0" w:space="0" w:color="auto"/>
      </w:divBdr>
    </w:div>
    <w:div w:id="410473841">
      <w:bodyDiv w:val="1"/>
      <w:marLeft w:val="0"/>
      <w:marRight w:val="0"/>
      <w:marTop w:val="0"/>
      <w:marBottom w:val="0"/>
      <w:divBdr>
        <w:top w:val="none" w:sz="0" w:space="0" w:color="auto"/>
        <w:left w:val="none" w:sz="0" w:space="0" w:color="auto"/>
        <w:bottom w:val="none" w:sz="0" w:space="0" w:color="auto"/>
        <w:right w:val="none" w:sz="0" w:space="0" w:color="auto"/>
      </w:divBdr>
    </w:div>
    <w:div w:id="524754040">
      <w:bodyDiv w:val="1"/>
      <w:marLeft w:val="0"/>
      <w:marRight w:val="0"/>
      <w:marTop w:val="0"/>
      <w:marBottom w:val="0"/>
      <w:divBdr>
        <w:top w:val="none" w:sz="0" w:space="0" w:color="auto"/>
        <w:left w:val="none" w:sz="0" w:space="0" w:color="auto"/>
        <w:bottom w:val="none" w:sz="0" w:space="0" w:color="auto"/>
        <w:right w:val="none" w:sz="0" w:space="0" w:color="auto"/>
      </w:divBdr>
    </w:div>
    <w:div w:id="1087919639">
      <w:bodyDiv w:val="1"/>
      <w:marLeft w:val="0"/>
      <w:marRight w:val="0"/>
      <w:marTop w:val="0"/>
      <w:marBottom w:val="0"/>
      <w:divBdr>
        <w:top w:val="none" w:sz="0" w:space="0" w:color="auto"/>
        <w:left w:val="none" w:sz="0" w:space="0" w:color="auto"/>
        <w:bottom w:val="none" w:sz="0" w:space="0" w:color="auto"/>
        <w:right w:val="none" w:sz="0" w:space="0" w:color="auto"/>
      </w:divBdr>
    </w:div>
    <w:div w:id="115749970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2844815">
      <w:bodyDiv w:val="1"/>
      <w:marLeft w:val="0"/>
      <w:marRight w:val="0"/>
      <w:marTop w:val="0"/>
      <w:marBottom w:val="0"/>
      <w:divBdr>
        <w:top w:val="none" w:sz="0" w:space="0" w:color="auto"/>
        <w:left w:val="none" w:sz="0" w:space="0" w:color="auto"/>
        <w:bottom w:val="none" w:sz="0" w:space="0" w:color="auto"/>
        <w:right w:val="none" w:sz="0" w:space="0" w:color="auto"/>
      </w:divBdr>
    </w:div>
    <w:div w:id="14686217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9233349">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4356563">
      <w:bodyDiv w:val="1"/>
      <w:marLeft w:val="0"/>
      <w:marRight w:val="0"/>
      <w:marTop w:val="0"/>
      <w:marBottom w:val="0"/>
      <w:divBdr>
        <w:top w:val="none" w:sz="0" w:space="0" w:color="auto"/>
        <w:left w:val="none" w:sz="0" w:space="0" w:color="auto"/>
        <w:bottom w:val="none" w:sz="0" w:space="0" w:color="auto"/>
        <w:right w:val="none" w:sz="0" w:space="0" w:color="auto"/>
      </w:divBdr>
    </w:div>
    <w:div w:id="1937128394">
      <w:bodyDiv w:val="1"/>
      <w:marLeft w:val="0"/>
      <w:marRight w:val="0"/>
      <w:marTop w:val="0"/>
      <w:marBottom w:val="0"/>
      <w:divBdr>
        <w:top w:val="none" w:sz="0" w:space="0" w:color="auto"/>
        <w:left w:val="none" w:sz="0" w:space="0" w:color="auto"/>
        <w:bottom w:val="none" w:sz="0" w:space="0" w:color="auto"/>
        <w:right w:val="none" w:sz="0" w:space="0" w:color="auto"/>
      </w:divBdr>
    </w:div>
    <w:div w:id="195397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D4D18" w:rsidP="002D4D18">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2D4D18"/>
    <w:rsid w:val="00345C9D"/>
    <w:rsid w:val="00405FEA"/>
    <w:rsid w:val="004745AE"/>
    <w:rsid w:val="0048651F"/>
    <w:rsid w:val="004E1775"/>
    <w:rsid w:val="005157ED"/>
    <w:rsid w:val="00556D67"/>
    <w:rsid w:val="00746837"/>
    <w:rsid w:val="00793995"/>
    <w:rsid w:val="007C6F98"/>
    <w:rsid w:val="007E254A"/>
    <w:rsid w:val="007F2010"/>
    <w:rsid w:val="0086433F"/>
    <w:rsid w:val="008B4366"/>
    <w:rsid w:val="008F1003"/>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 w:val="00FE59C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D4D18"/>
    <w:pPr>
      <w:bidi/>
      <w:spacing w:after="0" w:line="240" w:lineRule="auto"/>
    </w:pPr>
    <w:rPr>
      <w:rFonts w:ascii="Times New Roman" w:eastAsia="Times New Roman" w:hAnsi="Times New Roman" w:cs="David"/>
      <w:noProof/>
      <w:sz w:val="24"/>
      <w:szCs w:val="24"/>
    </w:rPr>
  </w:style>
  <w:style w:type="paragraph" w:customStyle="1" w:styleId="C3355537B1304B0D87F23FB025AFBD71">
    <w:name w:val="C3355537B1304B0D87F23FB025AFBD71"/>
    <w:rsid w:val="002D4D18"/>
    <w:pPr>
      <w:bidi/>
      <w:spacing w:after="160" w:line="259" w:lineRule="auto"/>
    </w:pPr>
  </w:style>
  <w:style w:type="paragraph" w:customStyle="1" w:styleId="BBAF538E99004A2BAC9CE770F05FD8FB">
    <w:name w:val="BBAF538E99004A2BAC9CE770F05FD8FB"/>
    <w:rsid w:val="002D4D18"/>
    <w:pPr>
      <w:bidi/>
      <w:spacing w:after="160" w:line="259" w:lineRule="auto"/>
    </w:pPr>
  </w:style>
  <w:style w:type="paragraph" w:customStyle="1" w:styleId="E4F37833085D42F5A41DF6D6DA7B315E">
    <w:name w:val="E4F37833085D42F5A41DF6D6DA7B315E"/>
    <w:rsid w:val="002D4D18"/>
    <w:pPr>
      <w:bidi/>
      <w:spacing w:after="160" w:line="259" w:lineRule="auto"/>
    </w:pPr>
  </w:style>
  <w:style w:type="paragraph" w:customStyle="1" w:styleId="E9BFE273D5B04015936501669A650098">
    <w:name w:val="E9BFE273D5B04015936501669A650098"/>
    <w:rsid w:val="002D4D1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1302</Words>
  <Characters>6510</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2024-11-28T07:56:00Z</cp:lastPrinted>
  <dcterms:created xsi:type="dcterms:W3CDTF">2024-12-12T16:14:00Z</dcterms:created>
  <dcterms:modified xsi:type="dcterms:W3CDTF">2024-12-12T16:14:00Z</dcterms:modified>
</cp:coreProperties>
</file>